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821B9" w14:textId="77777777" w:rsidR="003A6788" w:rsidRDefault="003A6788" w:rsidP="008F6D4A">
      <w:pPr>
        <w:jc w:val="center"/>
        <w:rPr>
          <w:b/>
          <w:bCs/>
          <w:color w:val="000000" w:themeColor="text1"/>
          <w:lang w:val="ro-RO"/>
        </w:rPr>
      </w:pPr>
    </w:p>
    <w:p w14:paraId="79F1145A" w14:textId="52A89CC5" w:rsidR="00AB7D63" w:rsidRDefault="00F91E42" w:rsidP="008F6D4A">
      <w:pPr>
        <w:jc w:val="center"/>
        <w:rPr>
          <w:b/>
          <w:bCs/>
          <w:color w:val="000000" w:themeColor="text1"/>
          <w:lang w:val="ro-RO"/>
        </w:rPr>
      </w:pPr>
      <w:r w:rsidRPr="00AB7D63">
        <w:rPr>
          <w:b/>
          <w:bCs/>
          <w:color w:val="000000" w:themeColor="text1"/>
          <w:lang w:val="ro-RO"/>
        </w:rPr>
        <w:t>UNITATEA CONSOLIDAT</w:t>
      </w:r>
      <w:r w:rsidRPr="00AB7D63">
        <w:rPr>
          <w:rFonts w:hint="eastAsia"/>
          <w:b/>
          <w:bCs/>
          <w:color w:val="000000" w:themeColor="text1"/>
          <w:lang w:val="ro-RO"/>
        </w:rPr>
        <w:t>Ă</w:t>
      </w:r>
      <w:r w:rsidRPr="00AB7D63">
        <w:rPr>
          <w:b/>
          <w:bCs/>
          <w:color w:val="000000" w:themeColor="text1"/>
          <w:lang w:val="ro-RO"/>
        </w:rPr>
        <w:t xml:space="preserve"> PENTRU IMPLEMENTAREA ȘI MONITORIZAREA PROIECTELOR ÎN DOMENIUL AGRICULTURII</w:t>
      </w:r>
    </w:p>
    <w:p w14:paraId="04EB605B" w14:textId="2993155F" w:rsidR="00AB7D63" w:rsidRDefault="00F91E42" w:rsidP="008F6D4A">
      <w:pPr>
        <w:jc w:val="center"/>
        <w:rPr>
          <w:b/>
          <w:bCs/>
          <w:color w:val="000000" w:themeColor="text1"/>
          <w:lang w:val="ro-RO"/>
        </w:rPr>
      </w:pPr>
      <w:r>
        <w:rPr>
          <w:b/>
          <w:bCs/>
          <w:color w:val="000000" w:themeColor="text1"/>
          <w:lang w:val="ro-RO"/>
        </w:rPr>
        <w:t>P</w:t>
      </w:r>
      <w:r w:rsidRPr="00F91E42">
        <w:rPr>
          <w:b/>
          <w:bCs/>
          <w:color w:val="000000" w:themeColor="text1"/>
          <w:lang w:val="ro-RO"/>
        </w:rPr>
        <w:t>ROIECTUL AGRICULTURA COMPETITIVĂ ÎN MOLDOVA (MAC-P)</w:t>
      </w:r>
    </w:p>
    <w:p w14:paraId="7B74C8D0" w14:textId="5CF9E5C8" w:rsidR="008F6D4A" w:rsidRPr="0061227C" w:rsidRDefault="005D34A6" w:rsidP="008F6D4A">
      <w:pPr>
        <w:jc w:val="center"/>
        <w:rPr>
          <w:b/>
          <w:bCs/>
          <w:color w:val="000000" w:themeColor="text1"/>
          <w:lang w:val="ro-RO"/>
        </w:rPr>
      </w:pPr>
      <w:r w:rsidRPr="0061227C">
        <w:rPr>
          <w:b/>
          <w:bCs/>
          <w:color w:val="000000" w:themeColor="text1"/>
          <w:lang w:val="ro-RO"/>
        </w:rPr>
        <w:t>TERMENI DE REFERINȚA</w:t>
      </w:r>
    </w:p>
    <w:p w14:paraId="5FCD8CAA" w14:textId="77777777" w:rsidR="00452DD7" w:rsidRPr="0061227C" w:rsidRDefault="00452DD7" w:rsidP="008F6D4A">
      <w:pPr>
        <w:jc w:val="center"/>
        <w:rPr>
          <w:b/>
          <w:bCs/>
          <w:color w:val="000000" w:themeColor="text1"/>
          <w:lang w:val="ro-RO"/>
        </w:rPr>
      </w:pPr>
      <w:r w:rsidRPr="0061227C">
        <w:rPr>
          <w:b/>
          <w:bCs/>
          <w:color w:val="000000" w:themeColor="text1"/>
          <w:lang w:val="ro-RO"/>
        </w:rPr>
        <w:t>Elaborarea Studiului de Fezabilitate</w:t>
      </w:r>
      <w:r w:rsidR="008F6D4A" w:rsidRPr="0061227C">
        <w:rPr>
          <w:b/>
          <w:bCs/>
          <w:color w:val="000000" w:themeColor="text1"/>
          <w:lang w:val="ro-RO"/>
        </w:rPr>
        <w:t xml:space="preserve"> </w:t>
      </w:r>
      <w:r w:rsidRPr="0061227C">
        <w:rPr>
          <w:b/>
          <w:bCs/>
          <w:color w:val="000000" w:themeColor="text1"/>
          <w:lang w:val="ro-RO"/>
        </w:rPr>
        <w:t>pentru parteneriatul public-privat (concesiune)</w:t>
      </w:r>
      <w:r w:rsidR="008F6D4A" w:rsidRPr="0061227C">
        <w:rPr>
          <w:b/>
          <w:bCs/>
          <w:color w:val="000000" w:themeColor="text1"/>
          <w:lang w:val="ro-RO"/>
        </w:rPr>
        <w:t xml:space="preserve"> </w:t>
      </w:r>
    </w:p>
    <w:p w14:paraId="4A48C2D5" w14:textId="65C719B9" w:rsidR="008F6D4A" w:rsidRPr="0061227C" w:rsidRDefault="00B31D2C" w:rsidP="008F6D4A">
      <w:pPr>
        <w:jc w:val="center"/>
        <w:rPr>
          <w:color w:val="000000" w:themeColor="text1"/>
          <w:lang w:val="ro-RO"/>
        </w:rPr>
      </w:pPr>
      <w:r w:rsidRPr="0061227C">
        <w:rPr>
          <w:b/>
          <w:bCs/>
          <w:color w:val="000000" w:themeColor="text1"/>
          <w:lang w:val="ro-RO"/>
        </w:rPr>
        <w:t>Unității de Prelucrare a Subproduselor de Origine Animală nedestinate consumului uman</w:t>
      </w:r>
    </w:p>
    <w:p w14:paraId="64674C1B" w14:textId="77777777" w:rsidR="008F6D4A" w:rsidRPr="0061227C" w:rsidRDefault="008F6D4A" w:rsidP="008F6D4A">
      <w:pPr>
        <w:jc w:val="both"/>
        <w:rPr>
          <w:color w:val="000000" w:themeColor="text1"/>
          <w:lang w:val="ro-RO"/>
        </w:rPr>
      </w:pPr>
    </w:p>
    <w:p w14:paraId="69DF82C5" w14:textId="42D3CBC9" w:rsidR="008F6D4A" w:rsidRPr="0061227C" w:rsidRDefault="00452DD7" w:rsidP="008F6D4A">
      <w:pPr>
        <w:pStyle w:val="Heading1"/>
        <w:numPr>
          <w:ilvl w:val="0"/>
          <w:numId w:val="1"/>
        </w:numPr>
        <w:jc w:val="both"/>
        <w:rPr>
          <w:rFonts w:ascii="Times New Roman" w:hAnsi="Times New Roman"/>
          <w:color w:val="000000" w:themeColor="text1"/>
          <w:sz w:val="24"/>
          <w:lang w:val="ro-RO"/>
        </w:rPr>
      </w:pPr>
      <w:r w:rsidRPr="0061227C">
        <w:rPr>
          <w:rFonts w:ascii="Times New Roman" w:hAnsi="Times New Roman"/>
          <w:color w:val="000000" w:themeColor="text1"/>
          <w:sz w:val="24"/>
          <w:lang w:val="ro-RO"/>
        </w:rPr>
        <w:t>Premise</w:t>
      </w:r>
    </w:p>
    <w:p w14:paraId="0B5F0468" w14:textId="4DE6E6A8" w:rsidR="00452DD7" w:rsidRPr="0061227C" w:rsidRDefault="00452DD7" w:rsidP="00B31D2C">
      <w:pPr>
        <w:ind w:firstLine="426"/>
        <w:jc w:val="both"/>
        <w:rPr>
          <w:rFonts w:eastAsia="MS Mincho"/>
          <w:color w:val="000000" w:themeColor="text1"/>
          <w:szCs w:val="20"/>
          <w:lang w:val="ro-RO" w:eastAsia="it-IT"/>
        </w:rPr>
      </w:pPr>
      <w:r w:rsidRPr="0061227C">
        <w:rPr>
          <w:rFonts w:eastAsia="MS Mincho"/>
          <w:color w:val="000000" w:themeColor="text1"/>
          <w:szCs w:val="20"/>
          <w:lang w:val="ro-RO" w:eastAsia="it-IT"/>
        </w:rPr>
        <w:t xml:space="preserve">Moldova a primit o Finanțare Adițională (FA) de la Asociația Internațională de Dezvoltare în valoare de 15,0 milioane USD pentru </w:t>
      </w:r>
      <w:r w:rsidR="005E223B" w:rsidRPr="005E223B">
        <w:rPr>
          <w:rFonts w:eastAsia="MS Mincho"/>
          <w:color w:val="000000" w:themeColor="text1"/>
          <w:szCs w:val="20"/>
          <w:lang w:val="ro-RO" w:eastAsia="it-IT"/>
        </w:rPr>
        <w:t xml:space="preserve">Proiectul Agricultura Competitivă </w:t>
      </w:r>
      <w:r w:rsidR="005E223B">
        <w:rPr>
          <w:rFonts w:eastAsia="MS Mincho"/>
          <w:color w:val="000000" w:themeColor="text1"/>
          <w:szCs w:val="20"/>
          <w:lang w:val="ro-MD" w:eastAsia="it-IT"/>
        </w:rPr>
        <w:t>î</w:t>
      </w:r>
      <w:r w:rsidR="005E223B" w:rsidRPr="005E223B">
        <w:rPr>
          <w:rFonts w:eastAsia="MS Mincho"/>
          <w:color w:val="000000" w:themeColor="text1"/>
          <w:szCs w:val="20"/>
          <w:lang w:val="ro-RO" w:eastAsia="it-IT"/>
        </w:rPr>
        <w:t>n Moldova</w:t>
      </w:r>
      <w:r w:rsidRPr="0061227C">
        <w:rPr>
          <w:rFonts w:eastAsia="MS Mincho"/>
          <w:color w:val="000000" w:themeColor="text1"/>
          <w:szCs w:val="20"/>
          <w:lang w:val="ro-RO" w:eastAsia="it-IT"/>
        </w:rPr>
        <w:t xml:space="preserve"> (MAC-P). FA va fi utilizat pentru extinderea activităților proiectului în cadrul Componentei 1: Îmbunătățirea managementului siguranței alimentare, menită să consolideze capacitățile umane, instituționale și tehnice ale sistemelor de management al calității și siguranței alimentelor din țară și să asigure conformitatea reglementărilor și a sistemului cu normele sanitare și fitosanitare (SFS) pe piețele de export de produse alimentare (în primul rând pe piețele Uniunii Europene [UE] și aliniate la UE). În acest scop, FA finanțează o serie de activități și investiții care vizează stabilirea unui sistem cuprinzător, conform UE, pentru gestionarea subproduselor de origine animală (ABP) nedestinate consumului uman.</w:t>
      </w:r>
    </w:p>
    <w:p w14:paraId="5738C426" w14:textId="77777777" w:rsidR="00452DD7" w:rsidRPr="0061227C" w:rsidRDefault="00452DD7" w:rsidP="00B31D2C">
      <w:pPr>
        <w:ind w:firstLine="426"/>
        <w:jc w:val="both"/>
        <w:rPr>
          <w:rFonts w:eastAsia="MS Mincho"/>
          <w:color w:val="000000" w:themeColor="text1"/>
          <w:szCs w:val="20"/>
          <w:lang w:val="ro-RO" w:eastAsia="it-IT"/>
        </w:rPr>
      </w:pPr>
      <w:r w:rsidRPr="0061227C">
        <w:rPr>
          <w:rFonts w:eastAsia="MS Mincho"/>
          <w:color w:val="000000" w:themeColor="text1"/>
          <w:szCs w:val="20"/>
          <w:lang w:val="ro-RO" w:eastAsia="it-IT"/>
        </w:rPr>
        <w:t>În urma adoptării recente a Legii ABP în 2019, Guvernul a ajuns la un acord cu Banca Mondială cu privire la un proiect de stabilire a unui sistem cuprinzător, conform UE, pentru gestionarea ABP-urilor nedestinate consumului uman.</w:t>
      </w:r>
    </w:p>
    <w:p w14:paraId="37C9D2C0" w14:textId="5E8C9E52" w:rsidR="00452DD7" w:rsidRPr="0061227C" w:rsidRDefault="00452DD7" w:rsidP="00B31D2C">
      <w:pPr>
        <w:ind w:firstLine="426"/>
        <w:jc w:val="both"/>
        <w:rPr>
          <w:rFonts w:eastAsia="MS Mincho"/>
          <w:color w:val="000000" w:themeColor="text1"/>
          <w:szCs w:val="20"/>
          <w:lang w:val="ro-RO" w:eastAsia="it-IT"/>
        </w:rPr>
      </w:pPr>
      <w:r w:rsidRPr="0061227C">
        <w:rPr>
          <w:rFonts w:eastAsia="MS Mincho"/>
          <w:color w:val="000000" w:themeColor="text1"/>
          <w:szCs w:val="20"/>
          <w:lang w:val="ro-RO" w:eastAsia="it-IT"/>
        </w:rPr>
        <w:t xml:space="preserve">Sub responsabilitatea Ministerului Agriculturii și Industriei Alimentare a fost elaborat un </w:t>
      </w:r>
      <w:r w:rsidR="00B31D2C" w:rsidRPr="0061227C">
        <w:rPr>
          <w:rFonts w:eastAsia="MS Mincho"/>
          <w:color w:val="000000" w:themeColor="text1"/>
          <w:szCs w:val="20"/>
          <w:lang w:val="ro-RO" w:eastAsia="it-IT"/>
        </w:rPr>
        <w:t>S</w:t>
      </w:r>
      <w:r w:rsidRPr="0061227C">
        <w:rPr>
          <w:rFonts w:eastAsia="MS Mincho"/>
          <w:color w:val="000000" w:themeColor="text1"/>
          <w:szCs w:val="20"/>
          <w:lang w:val="ro-RO" w:eastAsia="it-IT"/>
        </w:rPr>
        <w:t xml:space="preserve">tudiu de </w:t>
      </w:r>
      <w:r w:rsidR="00B31D2C" w:rsidRPr="0061227C">
        <w:rPr>
          <w:rFonts w:eastAsia="MS Mincho"/>
          <w:color w:val="000000" w:themeColor="text1"/>
          <w:szCs w:val="20"/>
          <w:lang w:val="ro-RO" w:eastAsia="it-IT"/>
        </w:rPr>
        <w:t>F</w:t>
      </w:r>
      <w:r w:rsidRPr="0061227C">
        <w:rPr>
          <w:rFonts w:eastAsia="MS Mincho"/>
          <w:color w:val="000000" w:themeColor="text1"/>
          <w:szCs w:val="20"/>
          <w:lang w:val="ro-RO" w:eastAsia="it-IT"/>
        </w:rPr>
        <w:t>ezabilitate</w:t>
      </w:r>
      <w:r w:rsidR="00B31D2C" w:rsidRPr="0061227C">
        <w:rPr>
          <w:rFonts w:eastAsia="MS Mincho"/>
          <w:color w:val="000000" w:themeColor="text1"/>
          <w:szCs w:val="20"/>
          <w:lang w:val="ro-RO" w:eastAsia="it-IT"/>
        </w:rPr>
        <w:t xml:space="preserve"> Inițial (SFI)</w:t>
      </w:r>
      <w:r w:rsidRPr="0061227C">
        <w:rPr>
          <w:rFonts w:eastAsia="MS Mincho"/>
          <w:color w:val="000000" w:themeColor="text1"/>
          <w:szCs w:val="20"/>
          <w:lang w:val="ro-RO" w:eastAsia="it-IT"/>
        </w:rPr>
        <w:t xml:space="preserve"> pentru construirea Unității de Prelucrare a Subproduselor </w:t>
      </w:r>
      <w:r w:rsidR="00B31D2C" w:rsidRPr="0061227C">
        <w:rPr>
          <w:rFonts w:eastAsia="MS Mincho"/>
          <w:color w:val="000000" w:themeColor="text1"/>
          <w:szCs w:val="20"/>
          <w:lang w:val="ro-RO" w:eastAsia="it-IT"/>
        </w:rPr>
        <w:t xml:space="preserve">de Origine </w:t>
      </w:r>
      <w:r w:rsidRPr="0061227C">
        <w:rPr>
          <w:rFonts w:eastAsia="MS Mincho"/>
          <w:color w:val="000000" w:themeColor="text1"/>
          <w:szCs w:val="20"/>
          <w:lang w:val="ro-RO" w:eastAsia="it-IT"/>
        </w:rPr>
        <w:t>Animal</w:t>
      </w:r>
      <w:r w:rsidR="00B31D2C" w:rsidRPr="0061227C">
        <w:rPr>
          <w:rFonts w:eastAsia="MS Mincho"/>
          <w:color w:val="000000" w:themeColor="text1"/>
          <w:szCs w:val="20"/>
          <w:lang w:val="ro-RO" w:eastAsia="it-IT"/>
        </w:rPr>
        <w:t>ă</w:t>
      </w:r>
      <w:r w:rsidRPr="0061227C">
        <w:rPr>
          <w:rFonts w:eastAsia="MS Mincho"/>
          <w:color w:val="000000" w:themeColor="text1"/>
          <w:szCs w:val="20"/>
          <w:lang w:val="ro-RO" w:eastAsia="it-IT"/>
        </w:rPr>
        <w:t xml:space="preserve"> (ABP) nedestinate consumului uman (UPSOA).</w:t>
      </w:r>
    </w:p>
    <w:p w14:paraId="54A6EDA2" w14:textId="77777777" w:rsidR="00452DD7" w:rsidRPr="0061227C" w:rsidRDefault="00452DD7" w:rsidP="00B31D2C">
      <w:pPr>
        <w:ind w:firstLine="426"/>
        <w:jc w:val="both"/>
        <w:rPr>
          <w:rFonts w:eastAsia="MS Mincho"/>
          <w:color w:val="000000" w:themeColor="text1"/>
          <w:szCs w:val="20"/>
          <w:lang w:val="ro-RO" w:eastAsia="it-IT"/>
        </w:rPr>
      </w:pPr>
      <w:r w:rsidRPr="0061227C">
        <w:rPr>
          <w:rFonts w:eastAsia="MS Mincho"/>
          <w:color w:val="000000" w:themeColor="text1"/>
          <w:szCs w:val="20"/>
          <w:lang w:val="ro-RO" w:eastAsia="it-IT"/>
        </w:rPr>
        <w:t>Raportul detaliat privind soluția tehnică pentru prelucrarea ABP a cat. 1 și 2 într-o linie și cat. 3 într-o linie separată a fost dezvoltat.</w:t>
      </w:r>
    </w:p>
    <w:p w14:paraId="22F7508C" w14:textId="691AD3B4" w:rsidR="00452DD7" w:rsidRPr="0061227C" w:rsidRDefault="00452DD7" w:rsidP="00B31D2C">
      <w:pPr>
        <w:ind w:firstLine="426"/>
        <w:jc w:val="both"/>
        <w:rPr>
          <w:rFonts w:eastAsia="MS Mincho"/>
          <w:color w:val="000000" w:themeColor="text1"/>
          <w:szCs w:val="20"/>
          <w:lang w:val="ro-RO" w:eastAsia="it-IT"/>
        </w:rPr>
      </w:pPr>
      <w:r w:rsidRPr="0061227C">
        <w:rPr>
          <w:rFonts w:eastAsia="MS Mincho"/>
          <w:color w:val="000000" w:themeColor="text1"/>
          <w:szCs w:val="20"/>
          <w:lang w:val="ro-RO" w:eastAsia="it-IT"/>
        </w:rPr>
        <w:t>Pe baza rezultatelor SF</w:t>
      </w:r>
      <w:r w:rsidR="00B31D2C" w:rsidRPr="0061227C">
        <w:rPr>
          <w:rFonts w:eastAsia="MS Mincho"/>
          <w:color w:val="000000" w:themeColor="text1"/>
          <w:szCs w:val="20"/>
          <w:lang w:val="ro-RO" w:eastAsia="it-IT"/>
        </w:rPr>
        <w:t>I</w:t>
      </w:r>
      <w:r w:rsidRPr="0061227C">
        <w:rPr>
          <w:rFonts w:eastAsia="MS Mincho"/>
          <w:color w:val="000000" w:themeColor="text1"/>
          <w:szCs w:val="20"/>
          <w:lang w:val="ro-RO" w:eastAsia="it-IT"/>
        </w:rPr>
        <w:t xml:space="preserve"> și a opțiunii alese de Guvern, s</w:t>
      </w:r>
      <w:r w:rsidR="00B31D2C" w:rsidRPr="0061227C">
        <w:rPr>
          <w:rFonts w:eastAsia="MS Mincho"/>
          <w:color w:val="000000" w:themeColor="text1"/>
          <w:szCs w:val="20"/>
          <w:lang w:val="ro-RO" w:eastAsia="it-IT"/>
        </w:rPr>
        <w:t>-a demarat procesul de construire</w:t>
      </w:r>
      <w:r w:rsidRPr="0061227C">
        <w:rPr>
          <w:rFonts w:eastAsia="MS Mincho"/>
          <w:color w:val="000000" w:themeColor="text1"/>
          <w:szCs w:val="20"/>
          <w:lang w:val="ro-RO" w:eastAsia="it-IT"/>
        </w:rPr>
        <w:t xml:space="preserve"> </w:t>
      </w:r>
      <w:r w:rsidR="00B31D2C" w:rsidRPr="0061227C">
        <w:rPr>
          <w:rFonts w:eastAsia="MS Mincho"/>
          <w:color w:val="000000" w:themeColor="text1"/>
          <w:szCs w:val="20"/>
          <w:lang w:val="ro-RO" w:eastAsia="it-IT"/>
        </w:rPr>
        <w:t>UPSOA</w:t>
      </w:r>
      <w:r w:rsidRPr="0061227C">
        <w:rPr>
          <w:rFonts w:eastAsia="MS Mincho"/>
          <w:color w:val="000000" w:themeColor="text1"/>
          <w:szCs w:val="20"/>
          <w:lang w:val="ro-RO" w:eastAsia="it-IT"/>
        </w:rPr>
        <w:t xml:space="preserve"> în zona centrală a țării (r. Criuleni, la 40 km distanță de capital</w:t>
      </w:r>
      <w:r w:rsidR="00B31D2C" w:rsidRPr="0061227C">
        <w:rPr>
          <w:rFonts w:eastAsia="MS Mincho"/>
          <w:color w:val="000000" w:themeColor="text1"/>
          <w:szCs w:val="20"/>
          <w:lang w:val="ro-RO" w:eastAsia="it-IT"/>
        </w:rPr>
        <w:t>ă</w:t>
      </w:r>
      <w:r w:rsidRPr="0061227C">
        <w:rPr>
          <w:rFonts w:eastAsia="MS Mincho"/>
          <w:color w:val="000000" w:themeColor="text1"/>
          <w:szCs w:val="20"/>
          <w:lang w:val="ro-RO" w:eastAsia="it-IT"/>
        </w:rPr>
        <w:t xml:space="preserve">). </w:t>
      </w:r>
      <w:r w:rsidR="00B31D2C" w:rsidRPr="0061227C">
        <w:rPr>
          <w:rFonts w:eastAsia="MS Mincho"/>
          <w:color w:val="000000" w:themeColor="text1"/>
          <w:szCs w:val="20"/>
          <w:lang w:val="ro-RO" w:eastAsia="it-IT"/>
        </w:rPr>
        <w:t>SFI</w:t>
      </w:r>
      <w:r w:rsidRPr="0061227C">
        <w:rPr>
          <w:rFonts w:eastAsia="MS Mincho"/>
          <w:color w:val="000000" w:themeColor="text1"/>
          <w:szCs w:val="20"/>
          <w:lang w:val="ro-RO" w:eastAsia="it-IT"/>
        </w:rPr>
        <w:t xml:space="preserve"> a furnizat o descriere a echipamentului care urmează să fie instalat, precum și a aspectului general al amplasamentului, inclusiv fluxurile de ABP-uri de intrare și procesa</w:t>
      </w:r>
      <w:r w:rsidR="00B31D2C" w:rsidRPr="0061227C">
        <w:rPr>
          <w:rFonts w:eastAsia="MS Mincho"/>
          <w:color w:val="000000" w:themeColor="text1"/>
          <w:szCs w:val="20"/>
          <w:lang w:val="ro-RO" w:eastAsia="it-IT"/>
        </w:rPr>
        <w:t>r</w:t>
      </w:r>
      <w:r w:rsidRPr="0061227C">
        <w:rPr>
          <w:rFonts w:eastAsia="MS Mincho"/>
          <w:color w:val="000000" w:themeColor="text1"/>
          <w:szCs w:val="20"/>
          <w:lang w:val="ro-RO" w:eastAsia="it-IT"/>
        </w:rPr>
        <w:t>e.</w:t>
      </w:r>
      <w:r w:rsidR="00857435" w:rsidRPr="0061227C">
        <w:rPr>
          <w:rFonts w:eastAsia="MS Mincho"/>
          <w:color w:val="000000" w:themeColor="text1"/>
          <w:szCs w:val="20"/>
          <w:lang w:val="ro-RO" w:eastAsia="it-IT"/>
        </w:rPr>
        <w:t xml:space="preserve"> Executorul va livra ți va instala </w:t>
      </w:r>
      <w:r w:rsidR="00761C3D" w:rsidRPr="0061227C">
        <w:rPr>
          <w:rFonts w:eastAsia="MS Mincho"/>
          <w:color w:val="000000" w:themeColor="text1"/>
          <w:szCs w:val="20"/>
          <w:lang w:val="ro-RO" w:eastAsia="it-IT"/>
        </w:rPr>
        <w:t>echipamente necesare.</w:t>
      </w:r>
      <w:r w:rsidR="00857435" w:rsidRPr="0061227C">
        <w:rPr>
          <w:rFonts w:eastAsia="MS Mincho"/>
          <w:color w:val="000000" w:themeColor="text1"/>
          <w:szCs w:val="20"/>
          <w:lang w:val="ro-RO" w:eastAsia="it-IT"/>
        </w:rPr>
        <w:t xml:space="preserve"> </w:t>
      </w:r>
    </w:p>
    <w:p w14:paraId="3AA7E45D" w14:textId="3E434184" w:rsidR="00B31D2C" w:rsidRPr="0061227C" w:rsidRDefault="00B31D2C" w:rsidP="0085007A">
      <w:pPr>
        <w:ind w:firstLine="426"/>
        <w:jc w:val="both"/>
        <w:rPr>
          <w:rFonts w:eastAsia="MS Mincho"/>
          <w:color w:val="000000" w:themeColor="text1"/>
          <w:szCs w:val="20"/>
          <w:lang w:val="ro-RO" w:eastAsia="it-IT"/>
        </w:rPr>
      </w:pPr>
      <w:r w:rsidRPr="0061227C">
        <w:rPr>
          <w:rFonts w:eastAsia="MS Mincho"/>
          <w:color w:val="000000" w:themeColor="text1"/>
          <w:szCs w:val="20"/>
          <w:lang w:val="ro-RO" w:eastAsia="it-IT"/>
        </w:rPr>
        <w:t>Una din opțiunile de operare și management UPSOA, oferite în SFI a fost parteneriat public-privat</w:t>
      </w:r>
      <w:r w:rsidR="0085007A" w:rsidRPr="0061227C">
        <w:rPr>
          <w:rFonts w:eastAsia="MS Mincho"/>
          <w:color w:val="000000" w:themeColor="text1"/>
          <w:szCs w:val="20"/>
          <w:lang w:val="ro-RO" w:eastAsia="it-IT"/>
        </w:rPr>
        <w:t xml:space="preserve"> / concesiune. În acest sens, pentru a determina oportunitatea concesiunii prelucrării a subproduselor de origine animală nedestinate consumului uman în detrimentul operării de către stat (ÎS, IP etc.) și în conformitate cu prevederile legislației Republicii Moldova, este necesar de a elabora un Studiu de Fezabilitate (SF) inclusiv studiu de oportunitate.</w:t>
      </w:r>
    </w:p>
    <w:p w14:paraId="27444948" w14:textId="15F99972" w:rsidR="00575805" w:rsidRPr="0061227C" w:rsidRDefault="00452DD7" w:rsidP="00B31D2C">
      <w:pPr>
        <w:ind w:firstLine="426"/>
        <w:jc w:val="both"/>
        <w:rPr>
          <w:rFonts w:eastAsia="MS Mincho"/>
          <w:color w:val="000000" w:themeColor="text1"/>
          <w:szCs w:val="20"/>
          <w:lang w:val="ro-RO" w:eastAsia="it-IT"/>
        </w:rPr>
      </w:pPr>
      <w:r w:rsidRPr="0061227C">
        <w:rPr>
          <w:rFonts w:eastAsia="MS Mincho"/>
          <w:color w:val="000000" w:themeColor="text1"/>
          <w:szCs w:val="20"/>
          <w:lang w:val="ro-RO" w:eastAsia="it-IT"/>
        </w:rPr>
        <w:t xml:space="preserve">Toată activitatea fiduciară din cadrul Proiectului este întreprinsă de </w:t>
      </w:r>
      <w:r w:rsidR="00B31D2C" w:rsidRPr="0061227C">
        <w:rPr>
          <w:rFonts w:eastAsia="MS Mincho"/>
          <w:color w:val="000000" w:themeColor="text1"/>
          <w:szCs w:val="20"/>
          <w:lang w:val="ro-RO" w:eastAsia="it-IT"/>
        </w:rPr>
        <w:t>Unitatea Consolidată pentru Implementarea și Monitorizarea Proiectelor în domeniul Agriculturii, finanțate de Banca Mondială</w:t>
      </w:r>
      <w:r w:rsidRPr="0061227C">
        <w:rPr>
          <w:rFonts w:eastAsia="MS Mincho"/>
          <w:color w:val="000000" w:themeColor="text1"/>
          <w:szCs w:val="20"/>
          <w:lang w:val="ro-RO" w:eastAsia="it-IT"/>
        </w:rPr>
        <w:t>, care va fi Clientul acestei sarcini.</w:t>
      </w:r>
      <w:r w:rsidR="003A56AD" w:rsidRPr="0061227C">
        <w:rPr>
          <w:rFonts w:eastAsia="MS Mincho"/>
          <w:color w:val="000000" w:themeColor="text1"/>
          <w:szCs w:val="20"/>
          <w:lang w:val="ro-RO" w:eastAsia="it-IT"/>
        </w:rPr>
        <w:t xml:space="preserve"> Clientul intenționează să selecteze un Consultant pentru îndeplinirea sarcinilor descrise mai jos.</w:t>
      </w:r>
    </w:p>
    <w:p w14:paraId="21186D9C" w14:textId="4131AD26" w:rsidR="0085007A" w:rsidRPr="0061227C" w:rsidRDefault="0085007A" w:rsidP="00B31D2C">
      <w:pPr>
        <w:ind w:firstLine="426"/>
        <w:jc w:val="both"/>
        <w:rPr>
          <w:rFonts w:eastAsia="MS Mincho"/>
          <w:color w:val="000000" w:themeColor="text1"/>
          <w:szCs w:val="20"/>
          <w:lang w:val="ro-RO" w:eastAsia="it-IT"/>
        </w:rPr>
      </w:pPr>
    </w:p>
    <w:p w14:paraId="29CC5C7A" w14:textId="176DB1AF" w:rsidR="0085007A" w:rsidRPr="0061227C" w:rsidRDefault="0085007A" w:rsidP="0085007A">
      <w:pPr>
        <w:pStyle w:val="ListParagraph"/>
        <w:numPr>
          <w:ilvl w:val="0"/>
          <w:numId w:val="1"/>
        </w:numPr>
        <w:jc w:val="both"/>
        <w:rPr>
          <w:b/>
          <w:bCs/>
          <w:lang w:val="ro-RO"/>
        </w:rPr>
      </w:pPr>
      <w:r w:rsidRPr="0061227C">
        <w:rPr>
          <w:b/>
          <w:bCs/>
          <w:lang w:val="ro-RO"/>
        </w:rPr>
        <w:t>Obiective</w:t>
      </w:r>
    </w:p>
    <w:p w14:paraId="66463A0C" w14:textId="3C9A4384" w:rsidR="0085007A" w:rsidRPr="0061227C" w:rsidRDefault="0085007A" w:rsidP="0085007A">
      <w:pPr>
        <w:jc w:val="both"/>
        <w:rPr>
          <w:lang w:val="ro-RO"/>
        </w:rPr>
      </w:pPr>
    </w:p>
    <w:p w14:paraId="6A107B45" w14:textId="38850EBA" w:rsidR="006F5870" w:rsidRPr="0061227C" w:rsidRDefault="00BE6BE0" w:rsidP="002A3622">
      <w:pPr>
        <w:jc w:val="both"/>
        <w:rPr>
          <w:lang w:val="ro-RO"/>
        </w:rPr>
      </w:pPr>
      <w:r w:rsidRPr="0061227C">
        <w:rPr>
          <w:lang w:val="ro-RO"/>
        </w:rPr>
        <w:t>Obiectivul acestei sarcini este de a elabora</w:t>
      </w:r>
      <w:r w:rsidR="002A3622" w:rsidRPr="0061227C">
        <w:rPr>
          <w:lang w:val="ro-RO"/>
        </w:rPr>
        <w:t xml:space="preserve">, în conformitate cu prevederile legislației Republicii Moldova, Studiu de Fezabilitate (inclusiv studiu de oportunitate și caiet de sarcini) în sensul </w:t>
      </w:r>
      <w:r w:rsidR="002A3622" w:rsidRPr="0061227C">
        <w:rPr>
          <w:lang w:val="ro-RO"/>
        </w:rPr>
        <w:lastRenderedPageBreak/>
        <w:t>prevederilor art. 12 al. (1) a Legii nr. 121/2018 “Cu privire la concesiunile de lucrări și concesiunile de servicii”</w:t>
      </w:r>
      <w:r w:rsidR="00846BB9" w:rsidRPr="0061227C">
        <w:rPr>
          <w:lang w:val="ro-RO"/>
        </w:rPr>
        <w:t xml:space="preserve"> (Lege)</w:t>
      </w:r>
      <w:r w:rsidR="006F5870" w:rsidRPr="0061227C">
        <w:rPr>
          <w:lang w:val="ro-RO"/>
        </w:rPr>
        <w:t>.</w:t>
      </w:r>
    </w:p>
    <w:p w14:paraId="564B5522" w14:textId="230DE76C" w:rsidR="00C05BFF" w:rsidRPr="0061227C" w:rsidRDefault="00C05BFF" w:rsidP="002A3622">
      <w:pPr>
        <w:jc w:val="both"/>
        <w:rPr>
          <w:lang w:val="ro-RO"/>
        </w:rPr>
      </w:pPr>
    </w:p>
    <w:p w14:paraId="6773ED8D" w14:textId="7B431EBE" w:rsidR="00C05BFF" w:rsidRPr="0061227C" w:rsidRDefault="00C05BFF" w:rsidP="00C05BFF">
      <w:pPr>
        <w:pStyle w:val="ListParagraph"/>
        <w:numPr>
          <w:ilvl w:val="0"/>
          <w:numId w:val="1"/>
        </w:numPr>
        <w:jc w:val="both"/>
        <w:rPr>
          <w:b/>
          <w:bCs/>
          <w:lang w:val="ro-RO"/>
        </w:rPr>
      </w:pPr>
      <w:r w:rsidRPr="0061227C">
        <w:rPr>
          <w:b/>
          <w:bCs/>
          <w:lang w:val="ro-RO"/>
        </w:rPr>
        <w:t>Sarcini detaliate</w:t>
      </w:r>
    </w:p>
    <w:p w14:paraId="58FF5F7D" w14:textId="14ECE3B4" w:rsidR="00C05BFF" w:rsidRPr="0061227C" w:rsidRDefault="00C05BFF" w:rsidP="00C05BFF">
      <w:pPr>
        <w:jc w:val="both"/>
        <w:rPr>
          <w:lang w:val="ro-RO"/>
        </w:rPr>
      </w:pPr>
    </w:p>
    <w:p w14:paraId="4E000CD3" w14:textId="7BA407BA" w:rsidR="00C05BFF" w:rsidRPr="0061227C" w:rsidRDefault="00C05BFF" w:rsidP="00C05BFF">
      <w:pPr>
        <w:jc w:val="both"/>
        <w:rPr>
          <w:lang w:val="ro-RO"/>
        </w:rPr>
      </w:pPr>
      <w:r w:rsidRPr="0061227C">
        <w:rPr>
          <w:lang w:val="ro-RO"/>
        </w:rPr>
        <w:t>Lista de sarcini detaliate include următoarele:</w:t>
      </w:r>
    </w:p>
    <w:p w14:paraId="5EC95CFC" w14:textId="6E011778" w:rsidR="00846BB9" w:rsidRPr="0061227C" w:rsidRDefault="00846BB9" w:rsidP="00C05BFF">
      <w:pPr>
        <w:jc w:val="both"/>
        <w:rPr>
          <w:lang w:val="ro-RO"/>
        </w:rPr>
      </w:pPr>
    </w:p>
    <w:p w14:paraId="3AEE5453" w14:textId="362F4814" w:rsidR="00846BB9" w:rsidRPr="0061227C" w:rsidRDefault="00846BB9" w:rsidP="00846BB9">
      <w:pPr>
        <w:pStyle w:val="ListParagraph"/>
        <w:numPr>
          <w:ilvl w:val="0"/>
          <w:numId w:val="3"/>
        </w:numPr>
        <w:jc w:val="both"/>
        <w:rPr>
          <w:lang w:val="ro-RO"/>
        </w:rPr>
      </w:pPr>
      <w:r w:rsidRPr="0061227C">
        <w:rPr>
          <w:lang w:val="ro-RO"/>
        </w:rPr>
        <w:t>Elaborarea studiului de oportunitate, în conformitate cu prevederile art. 15 a Legii, care va fi parte integrantă a SF și care va demonstra necesitatea și raționalitatea realizării proiectului în modul respectiv. Studiu de oportunitate trebuie să analizeze dacă atribuirea eventuală contractului pentru servicii de prelucrare a subproduselor de origine animală nedestinate consumului uman implică transferul unei părți semnificative a riscului de operare către operatorul economic privat. Studiu de oportunitate trebuie să bazeze inclusiv pe analiza primară inclusă în SFI (care va fi pus in dispoziția Consultantului).</w:t>
      </w:r>
    </w:p>
    <w:p w14:paraId="4EECE8D4" w14:textId="77777777" w:rsidR="006810DF" w:rsidRPr="0061227C" w:rsidRDefault="006810DF" w:rsidP="006810DF">
      <w:pPr>
        <w:pStyle w:val="ListParagraph"/>
        <w:jc w:val="both"/>
        <w:rPr>
          <w:lang w:val="ro-RO"/>
        </w:rPr>
      </w:pPr>
    </w:p>
    <w:p w14:paraId="239BD706" w14:textId="77777777" w:rsidR="006810DF" w:rsidRPr="0061227C" w:rsidRDefault="006810DF" w:rsidP="006810DF">
      <w:pPr>
        <w:pStyle w:val="ListParagraph"/>
        <w:numPr>
          <w:ilvl w:val="0"/>
          <w:numId w:val="3"/>
        </w:numPr>
        <w:spacing w:after="120"/>
        <w:ind w:left="714" w:hanging="357"/>
        <w:jc w:val="both"/>
        <w:rPr>
          <w:lang w:val="ro-RO"/>
        </w:rPr>
      </w:pPr>
      <w:r w:rsidRPr="0061227C">
        <w:rPr>
          <w:lang w:val="ro-RO"/>
        </w:rPr>
        <w:t>Elaborarea SF</w:t>
      </w:r>
    </w:p>
    <w:p w14:paraId="2C94B39C" w14:textId="77777777" w:rsidR="006810DF" w:rsidRPr="0061227C" w:rsidRDefault="006810DF" w:rsidP="006810DF">
      <w:pPr>
        <w:pStyle w:val="ListParagraph"/>
        <w:rPr>
          <w:lang w:val="ro-RO"/>
        </w:rPr>
      </w:pPr>
    </w:p>
    <w:p w14:paraId="55C44CAB" w14:textId="54F5F38B" w:rsidR="006810DF" w:rsidRPr="0061227C" w:rsidRDefault="006810DF" w:rsidP="006810DF">
      <w:pPr>
        <w:pStyle w:val="ListParagraph"/>
        <w:numPr>
          <w:ilvl w:val="0"/>
          <w:numId w:val="4"/>
        </w:numPr>
        <w:spacing w:after="120"/>
        <w:jc w:val="both"/>
        <w:rPr>
          <w:lang w:val="ro-RO"/>
        </w:rPr>
      </w:pPr>
      <w:r w:rsidRPr="0061227C">
        <w:rPr>
          <w:lang w:val="ro-RO"/>
        </w:rPr>
        <w:t xml:space="preserve">SF trebuie să cuprindă o analiză care să permită definirea și cuantificarea, în termeni economici și financiari, a riscurilor și a variantelor de transfer al riscului de operare către concesionar, să cuprindă, de asemenea, calculul valorii estimate, precum și să justifice faptul că un contract de concesiune este mai avantajos, din punct de vedere economic, decât un contract de achiziție publică. </w:t>
      </w:r>
      <w:r w:rsidR="00784778" w:rsidRPr="0061227C">
        <w:rPr>
          <w:lang w:val="ro-RO"/>
        </w:rPr>
        <w:t>Studiu trebuie să ia în calcul experiența de concesionare a unităților similare din țările UE.</w:t>
      </w:r>
    </w:p>
    <w:p w14:paraId="0CA8355A" w14:textId="35213393" w:rsidR="006810DF" w:rsidRPr="0061227C" w:rsidRDefault="006810DF" w:rsidP="006810DF">
      <w:pPr>
        <w:pStyle w:val="ListParagraph"/>
        <w:numPr>
          <w:ilvl w:val="0"/>
          <w:numId w:val="4"/>
        </w:numPr>
        <w:spacing w:after="120"/>
        <w:jc w:val="both"/>
        <w:rPr>
          <w:lang w:val="ro-RO"/>
        </w:rPr>
      </w:pPr>
      <w:r w:rsidRPr="0061227C">
        <w:rPr>
          <w:lang w:val="ro-RO"/>
        </w:rPr>
        <w:t>SF trebuie să se bazeze pe analiza economico-financiară a proiectului de concesiune și pe stabilirea raportului optim cost-beneficiu. SF trebuie să bazeze pe matricea de riscuri care va cuprinde cel puțin analiza următoarelor categorii de riscuri și modul de repartizare a acestora:</w:t>
      </w:r>
    </w:p>
    <w:p w14:paraId="574B6B60" w14:textId="574F99A9" w:rsidR="006810DF" w:rsidRPr="0061227C" w:rsidRDefault="006810DF" w:rsidP="006810DF">
      <w:pPr>
        <w:ind w:left="1440"/>
        <w:jc w:val="both"/>
        <w:rPr>
          <w:lang w:val="ro-RO"/>
        </w:rPr>
      </w:pPr>
      <w:r w:rsidRPr="0061227C">
        <w:rPr>
          <w:lang w:val="ro-RO"/>
        </w:rPr>
        <w:t>a) riscurile de exploatare;</w:t>
      </w:r>
    </w:p>
    <w:p w14:paraId="0363360E" w14:textId="1C47073A" w:rsidR="006810DF" w:rsidRPr="0061227C" w:rsidRDefault="006810DF" w:rsidP="006810DF">
      <w:pPr>
        <w:ind w:left="1440"/>
        <w:jc w:val="both"/>
        <w:rPr>
          <w:lang w:val="ro-RO"/>
        </w:rPr>
      </w:pPr>
      <w:r w:rsidRPr="0061227C">
        <w:rPr>
          <w:lang w:val="ro-RO"/>
        </w:rPr>
        <w:t>b) riscurile de piață;</w:t>
      </w:r>
    </w:p>
    <w:p w14:paraId="101D6FBC" w14:textId="7DF06589" w:rsidR="006810DF" w:rsidRPr="0061227C" w:rsidRDefault="006810DF" w:rsidP="006810DF">
      <w:pPr>
        <w:ind w:left="1440"/>
        <w:jc w:val="both"/>
        <w:rPr>
          <w:lang w:val="ro-RO"/>
        </w:rPr>
      </w:pPr>
      <w:r w:rsidRPr="0061227C">
        <w:rPr>
          <w:lang w:val="ro-RO"/>
        </w:rPr>
        <w:t>c) riscurile legate de modificările legislației și/sau riscurile politice;</w:t>
      </w:r>
    </w:p>
    <w:p w14:paraId="54543F0F" w14:textId="2445220A" w:rsidR="006810DF" w:rsidRPr="0061227C" w:rsidRDefault="006810DF" w:rsidP="006810DF">
      <w:pPr>
        <w:ind w:left="1440"/>
        <w:jc w:val="both"/>
        <w:rPr>
          <w:lang w:val="ro-RO"/>
        </w:rPr>
      </w:pPr>
      <w:r w:rsidRPr="0061227C">
        <w:rPr>
          <w:lang w:val="ro-RO"/>
        </w:rPr>
        <w:t>d) riscurile aferente activelor proiectului de concesiune;</w:t>
      </w:r>
    </w:p>
    <w:p w14:paraId="00CF09B6" w14:textId="4B01DB38" w:rsidR="006810DF" w:rsidRPr="0061227C" w:rsidRDefault="006810DF" w:rsidP="006810DF">
      <w:pPr>
        <w:spacing w:after="120"/>
        <w:ind w:left="1440"/>
        <w:jc w:val="both"/>
        <w:rPr>
          <w:lang w:val="ro-RO"/>
        </w:rPr>
      </w:pPr>
      <w:r w:rsidRPr="0061227C">
        <w:rPr>
          <w:lang w:val="ro-RO"/>
        </w:rPr>
        <w:t>e) riscul de forță majoră.</w:t>
      </w:r>
    </w:p>
    <w:p w14:paraId="2BD3A525" w14:textId="59DEC9A7" w:rsidR="006810DF" w:rsidRPr="0061227C" w:rsidRDefault="006810DF" w:rsidP="006810DF">
      <w:pPr>
        <w:pStyle w:val="ListParagraph"/>
        <w:numPr>
          <w:ilvl w:val="0"/>
          <w:numId w:val="4"/>
        </w:numPr>
        <w:spacing w:after="120"/>
        <w:jc w:val="both"/>
        <w:rPr>
          <w:lang w:val="ro-RO"/>
        </w:rPr>
      </w:pPr>
      <w:r w:rsidRPr="0061227C">
        <w:rPr>
          <w:lang w:val="ro-RO"/>
        </w:rPr>
        <w:t>Studiul de fezabilitate trebuie să justifice necesitatea și oportunitatea concesiunii și să demonstreze că:</w:t>
      </w:r>
    </w:p>
    <w:p w14:paraId="7173415F" w14:textId="77777777" w:rsidR="006810DF" w:rsidRPr="0061227C" w:rsidRDefault="006810DF" w:rsidP="006810DF">
      <w:pPr>
        <w:ind w:left="1440"/>
        <w:jc w:val="both"/>
        <w:rPr>
          <w:lang w:val="ro-RO"/>
        </w:rPr>
      </w:pPr>
      <w:r w:rsidRPr="0061227C">
        <w:rPr>
          <w:lang w:val="ro-RO"/>
        </w:rPr>
        <w:t>a) proiectul concesiunii este fezabil;</w:t>
      </w:r>
    </w:p>
    <w:p w14:paraId="6D9FDDE8" w14:textId="77777777" w:rsidR="006810DF" w:rsidRPr="0061227C" w:rsidRDefault="006810DF" w:rsidP="006810DF">
      <w:pPr>
        <w:ind w:left="1440"/>
        <w:jc w:val="both"/>
        <w:rPr>
          <w:lang w:val="ro-RO"/>
        </w:rPr>
      </w:pPr>
      <w:r w:rsidRPr="0061227C">
        <w:rPr>
          <w:lang w:val="ro-RO"/>
        </w:rPr>
        <w:t>b) proiectul concesiunii corespunde cerințelor stabilite de către autoritatea contractantă;</w:t>
      </w:r>
    </w:p>
    <w:p w14:paraId="29110BFD" w14:textId="77777777" w:rsidR="006810DF" w:rsidRPr="0061227C" w:rsidRDefault="006810DF" w:rsidP="006810DF">
      <w:pPr>
        <w:ind w:left="1440"/>
        <w:jc w:val="both"/>
        <w:rPr>
          <w:lang w:val="ro-RO"/>
        </w:rPr>
      </w:pPr>
      <w:r w:rsidRPr="0061227C">
        <w:rPr>
          <w:lang w:val="ro-RO"/>
        </w:rPr>
        <w:t>c) au fost luate în considerare diverse alternative de realizare a proiectului concesiunii;</w:t>
      </w:r>
    </w:p>
    <w:p w14:paraId="0E05A262" w14:textId="77777777" w:rsidR="006810DF" w:rsidRPr="0061227C" w:rsidRDefault="006810DF" w:rsidP="006810DF">
      <w:pPr>
        <w:ind w:left="1440"/>
        <w:jc w:val="both"/>
        <w:rPr>
          <w:lang w:val="ro-RO"/>
        </w:rPr>
      </w:pPr>
      <w:r w:rsidRPr="0061227C">
        <w:rPr>
          <w:lang w:val="ro-RO"/>
        </w:rPr>
        <w:t>d) realizarea proiectului concesiunii prin atribuirea unui contract de concesiune este mai avantajoasă în raport cu atribuirea unui contract de achiziție publică;</w:t>
      </w:r>
    </w:p>
    <w:p w14:paraId="0933494B" w14:textId="77777777" w:rsidR="006810DF" w:rsidRPr="0061227C" w:rsidRDefault="006810DF" w:rsidP="006810DF">
      <w:pPr>
        <w:ind w:left="1440"/>
        <w:jc w:val="both"/>
        <w:rPr>
          <w:lang w:val="ro-RO"/>
        </w:rPr>
      </w:pPr>
      <w:r w:rsidRPr="0061227C">
        <w:rPr>
          <w:lang w:val="ro-RO"/>
        </w:rPr>
        <w:t>e) riscul de operare este transferat către concesionar;</w:t>
      </w:r>
    </w:p>
    <w:p w14:paraId="457047FE" w14:textId="74BEEA43" w:rsidR="006810DF" w:rsidRPr="0061227C" w:rsidRDefault="006810DF" w:rsidP="006810DF">
      <w:pPr>
        <w:spacing w:after="120"/>
        <w:ind w:left="1440"/>
        <w:jc w:val="both"/>
        <w:rPr>
          <w:lang w:val="ro-RO"/>
        </w:rPr>
      </w:pPr>
      <w:r w:rsidRPr="0061227C">
        <w:rPr>
          <w:lang w:val="ro-RO"/>
        </w:rPr>
        <w:t>f) proiectul concesiunii beneficiază de susținere financiară, indicându-se, după caz, care este contribuția autorității contractante, inclusiv prin punerea la dispoziție cu titlu gratuit a bunurilor accesorii lucrărilor și serviciilor ce fac obiectul concesiunii.</w:t>
      </w:r>
    </w:p>
    <w:p w14:paraId="5B41633D" w14:textId="7318088D" w:rsidR="0061227C" w:rsidRPr="0061227C" w:rsidRDefault="006810DF" w:rsidP="006810DF">
      <w:pPr>
        <w:pStyle w:val="ListParagraph"/>
        <w:numPr>
          <w:ilvl w:val="0"/>
          <w:numId w:val="4"/>
        </w:numPr>
        <w:jc w:val="both"/>
        <w:rPr>
          <w:lang w:val="ro-RO"/>
        </w:rPr>
      </w:pPr>
      <w:r w:rsidRPr="0061227C">
        <w:rPr>
          <w:lang w:val="ro-RO"/>
        </w:rPr>
        <w:t xml:space="preserve">Studiul de fezabilitate trebuie să cuprindă mecanismul de plată care să se potrivească scopului concesiunii și să reflecte repartizarea specifică a riscurilor, dar la elaborarea mecanismului de plată se ține cont de toate elementele și formulele în temeiul cărora se </w:t>
      </w:r>
      <w:r w:rsidRPr="0061227C">
        <w:rPr>
          <w:lang w:val="ro-RO"/>
        </w:rPr>
        <w:lastRenderedPageBreak/>
        <w:t>realizează plățile către concesionar, astfel încât, în condiții de maximă eficiență în executarea lucrărilor și/sau prestarea serviciilor pe durata contractului de concesiune, să poată fi obținut un raport optim cost-beneficiu. Mecanismul de plată trebuie să bazeze pe dreptul de încasare de către concesionar fie a unor taxe de utilizare, fie a unor plăți de disponibilitate, fie combinația dintre acestea</w:t>
      </w:r>
      <w:r w:rsidR="008D1D57" w:rsidRPr="0061227C">
        <w:rPr>
          <w:lang w:val="ro-RO"/>
        </w:rPr>
        <w:t>.</w:t>
      </w:r>
      <w:r w:rsidR="00784778" w:rsidRPr="0061227C">
        <w:rPr>
          <w:lang w:val="ro-RO"/>
        </w:rPr>
        <w:t xml:space="preserve"> Totodată, studiu trebuie să ia în calcul mecanism</w:t>
      </w:r>
      <w:r w:rsidR="0061227C" w:rsidRPr="0061227C">
        <w:rPr>
          <w:lang w:val="ro-RO"/>
        </w:rPr>
        <w:t xml:space="preserve">e de suport din partea bugetului de stat prin mecanisme existente sau, in cazul lipse </w:t>
      </w:r>
      <w:r w:rsidR="0061227C" w:rsidRPr="0061227C">
        <w:rPr>
          <w:lang w:val="ro-MD"/>
        </w:rPr>
        <w:t>astfel de mecanisme, de elaborat propuneri privind adoptarea lor în cadrul legal.</w:t>
      </w:r>
    </w:p>
    <w:p w14:paraId="7C0CFC9C" w14:textId="77777777" w:rsidR="0061227C" w:rsidRPr="0061227C" w:rsidRDefault="0061227C" w:rsidP="0061227C">
      <w:pPr>
        <w:pStyle w:val="ListParagraph"/>
        <w:ind w:left="1434"/>
        <w:jc w:val="both"/>
        <w:rPr>
          <w:lang w:val="ro-RO"/>
        </w:rPr>
      </w:pPr>
    </w:p>
    <w:p w14:paraId="79959336" w14:textId="767B1BDF" w:rsidR="006810DF" w:rsidRPr="0061227C" w:rsidRDefault="00F46C0C" w:rsidP="00F46C0C">
      <w:pPr>
        <w:pStyle w:val="ListParagraph"/>
        <w:numPr>
          <w:ilvl w:val="0"/>
          <w:numId w:val="3"/>
        </w:numPr>
        <w:jc w:val="both"/>
        <w:rPr>
          <w:lang w:val="ro-RO"/>
        </w:rPr>
      </w:pPr>
      <w:r w:rsidRPr="0061227C">
        <w:rPr>
          <w:lang w:val="ro-RO"/>
        </w:rPr>
        <w:t>Elaborarea mecanismului de funcționare</w:t>
      </w:r>
    </w:p>
    <w:p w14:paraId="6BE92708" w14:textId="6A8B42D5" w:rsidR="00F46C0C" w:rsidRPr="0061227C" w:rsidRDefault="00F46C0C" w:rsidP="00F46C0C">
      <w:pPr>
        <w:pStyle w:val="ListParagraph"/>
        <w:jc w:val="both"/>
        <w:rPr>
          <w:lang w:val="ro-RO"/>
        </w:rPr>
      </w:pPr>
    </w:p>
    <w:p w14:paraId="77BEE37D" w14:textId="295E0A41" w:rsidR="00F46C0C" w:rsidRPr="0061227C" w:rsidRDefault="00F46C0C" w:rsidP="00F46C0C">
      <w:pPr>
        <w:pStyle w:val="ListParagraph"/>
        <w:numPr>
          <w:ilvl w:val="0"/>
          <w:numId w:val="7"/>
        </w:numPr>
        <w:jc w:val="both"/>
        <w:rPr>
          <w:lang w:val="ro-RO"/>
        </w:rPr>
      </w:pPr>
      <w:r w:rsidRPr="0061227C">
        <w:rPr>
          <w:lang w:val="ro-RO"/>
        </w:rPr>
        <w:t>Coordonarea tehnică și operațională a uzinei: Elaborarea unui model tehnic și operațional detaliat pentru UPSOA, care să asigure funcționarea acesteia în condiții optime și să fie conformă cu standardele naționale și europene. Acesta trebuie să includă detalii despre fluxurile operaționale și procesele tehnologice utilizate.</w:t>
      </w:r>
    </w:p>
    <w:p w14:paraId="712A3CA6" w14:textId="17BC16D7" w:rsidR="00F46C0C" w:rsidRPr="0061227C" w:rsidRDefault="00F46C0C" w:rsidP="00F46C0C">
      <w:pPr>
        <w:pStyle w:val="ListParagraph"/>
        <w:numPr>
          <w:ilvl w:val="0"/>
          <w:numId w:val="7"/>
        </w:numPr>
        <w:jc w:val="both"/>
        <w:rPr>
          <w:lang w:val="ro-RO"/>
        </w:rPr>
      </w:pPr>
      <w:r w:rsidRPr="0061227C">
        <w:rPr>
          <w:lang w:val="ro-RO"/>
        </w:rPr>
        <w:t>Planificarea financiară și bugetară: Crearea unui plan financiar solid care să acopere costurile operaționale și să identifice surse de venit viabile. Planul va trebui să ia în considerare costurile pe termen scurt și lung, subvențiile guvernamentale posibile.</w:t>
      </w:r>
    </w:p>
    <w:p w14:paraId="7C65B173" w14:textId="77777777" w:rsidR="00F46C0C" w:rsidRPr="0061227C" w:rsidRDefault="00F46C0C" w:rsidP="00F46C0C">
      <w:pPr>
        <w:pStyle w:val="ListParagraph"/>
        <w:numPr>
          <w:ilvl w:val="0"/>
          <w:numId w:val="7"/>
        </w:numPr>
        <w:jc w:val="both"/>
        <w:rPr>
          <w:lang w:val="ro-RO"/>
        </w:rPr>
      </w:pPr>
      <w:r w:rsidRPr="0061227C">
        <w:rPr>
          <w:lang w:val="ro-RO"/>
        </w:rPr>
        <w:t>Modelul de gestionare a deșeurilor: Analizarea și propunerea unui model de colectare și transport pentru toate cele trei categorii de ABP-uri (Categoria 1, 2 și 3), inclusiv soluții pentru colectarea descentralizată, dacă este necesar, și optimizarea costurilor de transport.</w:t>
      </w:r>
    </w:p>
    <w:p w14:paraId="3F2D25AD" w14:textId="77777777" w:rsidR="00F46C0C" w:rsidRPr="0061227C" w:rsidRDefault="00F46C0C" w:rsidP="00F46C0C">
      <w:pPr>
        <w:pStyle w:val="ListParagraph"/>
        <w:numPr>
          <w:ilvl w:val="0"/>
          <w:numId w:val="7"/>
        </w:numPr>
        <w:jc w:val="both"/>
        <w:rPr>
          <w:lang w:val="ro-RO"/>
        </w:rPr>
      </w:pPr>
      <w:r w:rsidRPr="0061227C">
        <w:rPr>
          <w:lang w:val="ro-RO"/>
        </w:rPr>
        <w:t>Planul de implementare: Elaborarea unui plan de implementare care să detalieze etapele de lucru, cronograma activităților și necesarul financiar pentru fiecare fază. Acest plan va include și consultări periodice cu autoritățile guvernamentale pentru validarea progresului și ajustările necesare.</w:t>
      </w:r>
    </w:p>
    <w:p w14:paraId="006E283A" w14:textId="15B41D38" w:rsidR="00F46C0C" w:rsidRPr="0061227C" w:rsidRDefault="00F46C0C" w:rsidP="00F46C0C">
      <w:pPr>
        <w:jc w:val="both"/>
        <w:rPr>
          <w:lang w:val="ro-RO"/>
        </w:rPr>
      </w:pPr>
    </w:p>
    <w:p w14:paraId="39D19D73" w14:textId="0999C8D8" w:rsidR="00F46C0C" w:rsidRPr="0061227C" w:rsidRDefault="00F46C0C" w:rsidP="002C1091">
      <w:pPr>
        <w:pStyle w:val="ListParagraph"/>
        <w:numPr>
          <w:ilvl w:val="0"/>
          <w:numId w:val="3"/>
        </w:numPr>
        <w:jc w:val="both"/>
        <w:rPr>
          <w:lang w:val="ro-RO"/>
        </w:rPr>
      </w:pPr>
      <w:r w:rsidRPr="0061227C">
        <w:rPr>
          <w:lang w:val="ro-RO"/>
        </w:rPr>
        <w:t xml:space="preserve">Elaborarea </w:t>
      </w:r>
      <w:r w:rsidR="003A56AD" w:rsidRPr="0061227C">
        <w:rPr>
          <w:lang w:val="ro-RO"/>
        </w:rPr>
        <w:t>documentației  de atribuire, care va cuprinde cel puțin următoarele:</w:t>
      </w:r>
    </w:p>
    <w:p w14:paraId="6E68E39C" w14:textId="48F0D062" w:rsidR="00F46C0C" w:rsidRPr="0061227C" w:rsidRDefault="00F46C0C" w:rsidP="00F46C0C">
      <w:pPr>
        <w:pStyle w:val="ListParagraph"/>
        <w:jc w:val="both"/>
        <w:rPr>
          <w:lang w:val="ro-RO"/>
        </w:rPr>
      </w:pPr>
    </w:p>
    <w:p w14:paraId="59770B0E" w14:textId="2E29FD2F" w:rsidR="00F46C0C" w:rsidRPr="0061227C" w:rsidRDefault="00D52566" w:rsidP="00F46C0C">
      <w:pPr>
        <w:pStyle w:val="ListParagraph"/>
        <w:numPr>
          <w:ilvl w:val="0"/>
          <w:numId w:val="8"/>
        </w:numPr>
        <w:jc w:val="both"/>
        <w:rPr>
          <w:lang w:val="ro-RO"/>
        </w:rPr>
      </w:pPr>
      <w:r w:rsidRPr="0061227C">
        <w:rPr>
          <w:lang w:val="ro-RO"/>
        </w:rPr>
        <w:t xml:space="preserve">Caietul de sarcini </w:t>
      </w:r>
      <w:r w:rsidR="003A56AD" w:rsidRPr="0061227C">
        <w:rPr>
          <w:lang w:val="ro-RO"/>
        </w:rPr>
        <w:t xml:space="preserve">care </w:t>
      </w:r>
      <w:r w:rsidRPr="0061227C">
        <w:rPr>
          <w:lang w:val="ro-RO"/>
        </w:rPr>
        <w:t>va</w:t>
      </w:r>
      <w:r w:rsidR="003A56AD" w:rsidRPr="0061227C">
        <w:rPr>
          <w:lang w:val="ro-RO"/>
        </w:rPr>
        <w:t xml:space="preserve"> include cerințe tehnice și funcționale</w:t>
      </w:r>
      <w:r w:rsidRPr="0061227C">
        <w:rPr>
          <w:lang w:val="ro-RO"/>
        </w:rPr>
        <w:t xml:space="preserve"> </w:t>
      </w:r>
      <w:r w:rsidR="003A56AD" w:rsidRPr="0061227C">
        <w:rPr>
          <w:lang w:val="ro-RO"/>
        </w:rPr>
        <w:t xml:space="preserve">și va </w:t>
      </w:r>
      <w:r w:rsidRPr="0061227C">
        <w:rPr>
          <w:lang w:val="ro-RO"/>
        </w:rPr>
        <w:t>detalia condițiile tehnice de executare, cerințele fața de calitate, standardele și reglementările tehnice aplicabile și care constituie ansamblu cerințelor în baza cărora se elaborează oferta.</w:t>
      </w:r>
      <w:r w:rsidR="003A56AD" w:rsidRPr="0061227C">
        <w:rPr>
          <w:lang w:val="ro-RO"/>
        </w:rPr>
        <w:t xml:space="preserve"> </w:t>
      </w:r>
    </w:p>
    <w:p w14:paraId="50D1EA8C" w14:textId="3478E402" w:rsidR="00D52566" w:rsidRPr="0061227C" w:rsidRDefault="003A56AD" w:rsidP="00394550">
      <w:pPr>
        <w:pStyle w:val="ListParagraph"/>
        <w:numPr>
          <w:ilvl w:val="0"/>
          <w:numId w:val="8"/>
        </w:numPr>
        <w:jc w:val="both"/>
        <w:rPr>
          <w:lang w:val="ro-RO"/>
        </w:rPr>
      </w:pPr>
      <w:r w:rsidRPr="0061227C">
        <w:rPr>
          <w:lang w:val="ro-RO"/>
        </w:rPr>
        <w:t>Criteriile de calificare și de selecție, care trebuie să fie bazate pe a) eligibilitatea ofertantului, și b) capacitatea ofertantului.</w:t>
      </w:r>
    </w:p>
    <w:p w14:paraId="1CD00116" w14:textId="4C339285" w:rsidR="003A56AD" w:rsidRPr="0061227C" w:rsidRDefault="003A56AD" w:rsidP="00394550">
      <w:pPr>
        <w:pStyle w:val="ListParagraph"/>
        <w:numPr>
          <w:ilvl w:val="0"/>
          <w:numId w:val="8"/>
        </w:numPr>
        <w:jc w:val="both"/>
        <w:rPr>
          <w:lang w:val="ro-RO"/>
        </w:rPr>
      </w:pPr>
      <w:r w:rsidRPr="0061227C">
        <w:rPr>
          <w:lang w:val="ro-RO"/>
        </w:rPr>
        <w:t>Condiții privind eligibilitatea în sensul art. 29 a Legii.</w:t>
      </w:r>
    </w:p>
    <w:p w14:paraId="7188C929" w14:textId="500944A4" w:rsidR="003A56AD" w:rsidRPr="0061227C" w:rsidRDefault="003A56AD" w:rsidP="00394550">
      <w:pPr>
        <w:pStyle w:val="ListParagraph"/>
        <w:numPr>
          <w:ilvl w:val="0"/>
          <w:numId w:val="8"/>
        </w:numPr>
        <w:jc w:val="both"/>
        <w:rPr>
          <w:lang w:val="ro-RO"/>
        </w:rPr>
      </w:pPr>
      <w:r w:rsidRPr="0061227C">
        <w:rPr>
          <w:lang w:val="ro-RO"/>
        </w:rPr>
        <w:t>Criteriile de atribuire a concesiunii în sensul art. 30 a Legii.</w:t>
      </w:r>
    </w:p>
    <w:p w14:paraId="2D155356" w14:textId="77777777" w:rsidR="00E43898" w:rsidRPr="0061227C" w:rsidRDefault="00E43898" w:rsidP="00784778">
      <w:pPr>
        <w:jc w:val="both"/>
        <w:rPr>
          <w:lang w:val="ro-RO"/>
        </w:rPr>
      </w:pPr>
    </w:p>
    <w:p w14:paraId="6CC3E769" w14:textId="07A33CB9" w:rsidR="009829C2" w:rsidRPr="0061227C" w:rsidRDefault="006B5F8E" w:rsidP="009829C2">
      <w:pPr>
        <w:pStyle w:val="ListParagraph"/>
        <w:numPr>
          <w:ilvl w:val="0"/>
          <w:numId w:val="3"/>
        </w:numPr>
        <w:jc w:val="both"/>
        <w:rPr>
          <w:lang w:val="ro-RO"/>
        </w:rPr>
      </w:pPr>
      <w:r w:rsidRPr="0061227C">
        <w:rPr>
          <w:lang w:val="ro-RO"/>
        </w:rPr>
        <w:t xml:space="preserve">Actualizarea </w:t>
      </w:r>
      <w:r w:rsidR="00784778" w:rsidRPr="0061227C">
        <w:rPr>
          <w:lang w:val="ro-RO"/>
        </w:rPr>
        <w:t>S</w:t>
      </w:r>
      <w:r w:rsidR="00E43898" w:rsidRPr="0061227C">
        <w:rPr>
          <w:lang w:val="ro-RO"/>
        </w:rPr>
        <w:t>tudiului</w:t>
      </w:r>
      <w:r w:rsidRPr="0061227C">
        <w:rPr>
          <w:lang w:val="ro-RO"/>
        </w:rPr>
        <w:t xml:space="preserve"> de Trafic </w:t>
      </w:r>
      <w:r w:rsidR="00E43898" w:rsidRPr="0061227C">
        <w:rPr>
          <w:lang w:val="ro-RO"/>
        </w:rPr>
        <w:t xml:space="preserve">și optimizarea traseelor </w:t>
      </w:r>
      <w:r w:rsidRPr="0061227C">
        <w:rPr>
          <w:lang w:val="ro-RO"/>
        </w:rPr>
        <w:t xml:space="preserve"> </w:t>
      </w:r>
    </w:p>
    <w:p w14:paraId="0E9B28B0" w14:textId="6E2CAB15" w:rsidR="003A56AD" w:rsidRPr="0061227C" w:rsidRDefault="003A56AD" w:rsidP="003A56AD">
      <w:pPr>
        <w:jc w:val="both"/>
        <w:rPr>
          <w:lang w:val="ro-RO"/>
        </w:rPr>
      </w:pPr>
    </w:p>
    <w:p w14:paraId="0A58845B" w14:textId="77777777" w:rsidR="00A06321" w:rsidRPr="0061227C" w:rsidRDefault="00A06321" w:rsidP="00A06321">
      <w:pPr>
        <w:jc w:val="both"/>
        <w:rPr>
          <w:lang w:val="ro-RO"/>
        </w:rPr>
      </w:pPr>
      <w:r w:rsidRPr="0061227C">
        <w:rPr>
          <w:lang w:val="ro-RO"/>
        </w:rPr>
        <w:t>Având în vedere că locația uzinei, metoda și tehnologia de procesare a produselor de origine animală (ABP) sunt deja stabilite, iar contractul cu compania furnizoare de utilaje este semnat, Consultantul va actualiza informațiile din studiul anterior realizat de IFC. Studiul IFC va servi drept bază pentru această actualizare, urmând a fi completat cu date actualizate și relevante pentru implementarea proiectului în noile condiții.</w:t>
      </w:r>
    </w:p>
    <w:p w14:paraId="00DA4645" w14:textId="77777777" w:rsidR="00A06321" w:rsidRPr="0061227C" w:rsidRDefault="00A06321" w:rsidP="00A06321">
      <w:pPr>
        <w:jc w:val="both"/>
        <w:rPr>
          <w:lang w:val="ro-RO"/>
        </w:rPr>
      </w:pPr>
    </w:p>
    <w:p w14:paraId="50C662D0" w14:textId="77777777" w:rsidR="00A06321" w:rsidRPr="0061227C" w:rsidRDefault="00A06321" w:rsidP="00A06321">
      <w:pPr>
        <w:jc w:val="both"/>
        <w:rPr>
          <w:lang w:val="ro-RO"/>
        </w:rPr>
      </w:pPr>
      <w:r w:rsidRPr="0061227C">
        <w:rPr>
          <w:lang w:val="ro-RO"/>
        </w:rPr>
        <w:t>Actualizarea va include:</w:t>
      </w:r>
    </w:p>
    <w:p w14:paraId="65C9A3AC" w14:textId="77777777" w:rsidR="00A06321" w:rsidRPr="0061227C" w:rsidRDefault="00A06321" w:rsidP="00A06321">
      <w:pPr>
        <w:jc w:val="both"/>
        <w:rPr>
          <w:lang w:val="ro-RO"/>
        </w:rPr>
      </w:pPr>
    </w:p>
    <w:p w14:paraId="0398E830" w14:textId="77777777" w:rsidR="00A06321" w:rsidRPr="0061227C" w:rsidRDefault="00A06321" w:rsidP="00784778">
      <w:pPr>
        <w:pStyle w:val="ListParagraph"/>
        <w:numPr>
          <w:ilvl w:val="0"/>
          <w:numId w:val="13"/>
        </w:numPr>
        <w:ind w:left="1418" w:hanging="425"/>
        <w:jc w:val="both"/>
        <w:rPr>
          <w:lang w:val="ro-RO"/>
        </w:rPr>
      </w:pPr>
      <w:r w:rsidRPr="0061227C">
        <w:rPr>
          <w:lang w:val="ro-RO"/>
        </w:rPr>
        <w:t>Rutele optimizate pentru colectarea și transportul tuturor categoriilor de ABP.</w:t>
      </w:r>
    </w:p>
    <w:p w14:paraId="1C101FBA" w14:textId="77777777" w:rsidR="00A06321" w:rsidRPr="0061227C" w:rsidRDefault="00A06321" w:rsidP="00784778">
      <w:pPr>
        <w:pStyle w:val="ListParagraph"/>
        <w:numPr>
          <w:ilvl w:val="0"/>
          <w:numId w:val="13"/>
        </w:numPr>
        <w:ind w:left="1418" w:hanging="425"/>
        <w:jc w:val="both"/>
        <w:rPr>
          <w:lang w:val="ro-RO"/>
        </w:rPr>
      </w:pPr>
      <w:r w:rsidRPr="0061227C">
        <w:rPr>
          <w:lang w:val="ro-RO"/>
        </w:rPr>
        <w:lastRenderedPageBreak/>
        <w:t>Necesitatea vehiculelor și echipamentelor pentru transport și depozitare, inclusiv caracteristicile tehnice și costurile aferente.</w:t>
      </w:r>
    </w:p>
    <w:p w14:paraId="319DF571" w14:textId="77777777" w:rsidR="00A06321" w:rsidRPr="0061227C" w:rsidRDefault="00A06321" w:rsidP="00784778">
      <w:pPr>
        <w:pStyle w:val="ListParagraph"/>
        <w:numPr>
          <w:ilvl w:val="0"/>
          <w:numId w:val="13"/>
        </w:numPr>
        <w:ind w:left="1418" w:hanging="425"/>
        <w:jc w:val="both"/>
        <w:rPr>
          <w:lang w:val="ro-RO"/>
        </w:rPr>
      </w:pPr>
      <w:r w:rsidRPr="0061227C">
        <w:rPr>
          <w:lang w:val="ro-RO"/>
        </w:rPr>
        <w:t>Analiza frecvenței colectării și stabilirea tururilor de transport, având în vedere datele noi disponibile.</w:t>
      </w:r>
    </w:p>
    <w:p w14:paraId="13DDC5D9" w14:textId="47978F61" w:rsidR="00A06321" w:rsidRPr="0061227C" w:rsidRDefault="00A06321" w:rsidP="00784778">
      <w:pPr>
        <w:pStyle w:val="ListParagraph"/>
        <w:numPr>
          <w:ilvl w:val="0"/>
          <w:numId w:val="13"/>
        </w:numPr>
        <w:ind w:left="1418" w:hanging="425"/>
        <w:jc w:val="both"/>
        <w:rPr>
          <w:lang w:val="ro-RO"/>
        </w:rPr>
      </w:pPr>
      <w:r w:rsidRPr="0061227C">
        <w:rPr>
          <w:lang w:val="ro-RO"/>
        </w:rPr>
        <w:t>Propuneri pentru punctele de colectare intermediare, dacă este necesar, pentru a asigura depozitarea temporară în condiții controlate a produselor din Categoria 1</w:t>
      </w:r>
      <w:r w:rsidR="00A51D15" w:rsidRPr="0061227C">
        <w:rPr>
          <w:lang w:val="ro-RO"/>
        </w:rPr>
        <w:t xml:space="preserve"> și 2</w:t>
      </w:r>
      <w:r w:rsidRPr="0061227C">
        <w:rPr>
          <w:lang w:val="ro-RO"/>
        </w:rPr>
        <w:t>.</w:t>
      </w:r>
    </w:p>
    <w:p w14:paraId="3DFBC87C" w14:textId="77777777" w:rsidR="00A06321" w:rsidRPr="0061227C" w:rsidRDefault="00A06321" w:rsidP="00784778">
      <w:pPr>
        <w:pStyle w:val="ListParagraph"/>
        <w:numPr>
          <w:ilvl w:val="0"/>
          <w:numId w:val="13"/>
        </w:numPr>
        <w:ind w:left="1418" w:hanging="425"/>
        <w:jc w:val="both"/>
        <w:rPr>
          <w:lang w:val="ro-RO"/>
        </w:rPr>
      </w:pPr>
      <w:r w:rsidRPr="0061227C">
        <w:rPr>
          <w:lang w:val="ro-RO"/>
        </w:rPr>
        <w:t>Estimarea consumului de combustibil și analiza eficienței costurilor pentru transport.</w:t>
      </w:r>
    </w:p>
    <w:p w14:paraId="7F470ECA" w14:textId="26EDE775" w:rsidR="00A06321" w:rsidRPr="0061227C" w:rsidRDefault="00A06321" w:rsidP="00566C81">
      <w:pPr>
        <w:pStyle w:val="ListParagraph"/>
        <w:numPr>
          <w:ilvl w:val="0"/>
          <w:numId w:val="13"/>
        </w:numPr>
        <w:ind w:left="1418" w:hanging="425"/>
        <w:jc w:val="both"/>
        <w:rPr>
          <w:lang w:val="ro-RO"/>
        </w:rPr>
      </w:pPr>
      <w:r w:rsidRPr="0061227C">
        <w:rPr>
          <w:lang w:val="ro-RO"/>
        </w:rPr>
        <w:t xml:space="preserve">Identificarea necesităților de vehicule suplimentare pentru transportul produselor procesate, precum făina proteică (MBM), grăsimi și produsele din Categoria </w:t>
      </w:r>
      <w:r w:rsidR="00A51D15" w:rsidRPr="0061227C">
        <w:rPr>
          <w:lang w:val="ro-RO"/>
        </w:rPr>
        <w:t>3</w:t>
      </w:r>
      <w:r w:rsidRPr="0061227C">
        <w:rPr>
          <w:lang w:val="ro-RO"/>
        </w:rPr>
        <w:t>.</w:t>
      </w:r>
    </w:p>
    <w:p w14:paraId="09B14B14" w14:textId="77777777" w:rsidR="00A51D15" w:rsidRPr="0061227C" w:rsidRDefault="00A51D15" w:rsidP="00A51D15">
      <w:pPr>
        <w:jc w:val="both"/>
        <w:rPr>
          <w:lang w:val="ro-RO"/>
        </w:rPr>
      </w:pPr>
    </w:p>
    <w:p w14:paraId="391C5F37" w14:textId="640F621A" w:rsidR="00A06321" w:rsidRPr="0061227C" w:rsidRDefault="00A06321" w:rsidP="00A06321">
      <w:pPr>
        <w:jc w:val="both"/>
        <w:rPr>
          <w:lang w:val="ro-RO"/>
        </w:rPr>
      </w:pPr>
      <w:r w:rsidRPr="0061227C">
        <w:rPr>
          <w:lang w:val="ro-RO"/>
        </w:rPr>
        <w:t>În cadrul acestui proces, Consultantul va evalua datele existente și va adapta soluțiile propuse astfel încât să răspundă cerințelor tehnologice stabilite prin contractul cu furnizorul de utilaje.</w:t>
      </w:r>
    </w:p>
    <w:p w14:paraId="0D426314" w14:textId="77777777" w:rsidR="00A06321" w:rsidRPr="0061227C" w:rsidRDefault="00A06321" w:rsidP="003A56AD">
      <w:pPr>
        <w:jc w:val="both"/>
        <w:rPr>
          <w:lang w:val="ro-RO"/>
        </w:rPr>
      </w:pPr>
    </w:p>
    <w:p w14:paraId="42AC2476" w14:textId="59017368" w:rsidR="003A56AD" w:rsidRPr="0061227C" w:rsidRDefault="003A56AD" w:rsidP="003A56AD">
      <w:pPr>
        <w:pStyle w:val="ListParagraph"/>
        <w:numPr>
          <w:ilvl w:val="0"/>
          <w:numId w:val="1"/>
        </w:numPr>
        <w:jc w:val="both"/>
        <w:rPr>
          <w:b/>
          <w:bCs/>
          <w:lang w:val="ro-RO"/>
        </w:rPr>
      </w:pPr>
      <w:r w:rsidRPr="0061227C">
        <w:rPr>
          <w:b/>
          <w:bCs/>
          <w:lang w:val="ro-RO"/>
        </w:rPr>
        <w:t>Raportare</w:t>
      </w:r>
    </w:p>
    <w:p w14:paraId="27B5417D" w14:textId="1ADB0494" w:rsidR="003A56AD" w:rsidRPr="0061227C" w:rsidRDefault="003A56AD" w:rsidP="003A56AD">
      <w:pPr>
        <w:jc w:val="both"/>
        <w:rPr>
          <w:lang w:val="ro-RO"/>
        </w:rPr>
      </w:pPr>
    </w:p>
    <w:p w14:paraId="5F4B5A09" w14:textId="28A1456A" w:rsidR="003A56AD" w:rsidRPr="0061227C" w:rsidRDefault="003A56AD" w:rsidP="003A56AD">
      <w:pPr>
        <w:jc w:val="both"/>
        <w:rPr>
          <w:lang w:val="ro-RO"/>
        </w:rPr>
      </w:pPr>
      <w:r w:rsidRPr="0061227C">
        <w:rPr>
          <w:lang w:val="ro-RO"/>
        </w:rPr>
        <w:t>Consultantul va raporta direct Directorului Executiv al Clientului. Toate rapoartele trebuie să fie prezentate în scris și în format electronic în limba română, conform graficului de lucru precum urmează:</w:t>
      </w:r>
    </w:p>
    <w:p w14:paraId="1103B172" w14:textId="55BB17E9" w:rsidR="003A56AD" w:rsidRPr="0061227C" w:rsidRDefault="003A56AD" w:rsidP="003A56AD">
      <w:pPr>
        <w:jc w:val="both"/>
        <w:rPr>
          <w:lang w:val="ro-RO"/>
        </w:rPr>
      </w:pPr>
    </w:p>
    <w:tbl>
      <w:tblPr>
        <w:tblStyle w:val="TableGrid"/>
        <w:tblW w:w="0" w:type="auto"/>
        <w:tblLook w:val="04A0" w:firstRow="1" w:lastRow="0" w:firstColumn="1" w:lastColumn="0" w:noHBand="0" w:noVBand="1"/>
      </w:tblPr>
      <w:tblGrid>
        <w:gridCol w:w="988"/>
        <w:gridCol w:w="5245"/>
        <w:gridCol w:w="3117"/>
      </w:tblGrid>
      <w:tr w:rsidR="003A56AD" w:rsidRPr="0061227C" w14:paraId="0C5C51A4" w14:textId="77777777" w:rsidTr="003A56AD">
        <w:tc>
          <w:tcPr>
            <w:tcW w:w="988" w:type="dxa"/>
          </w:tcPr>
          <w:p w14:paraId="263E27BF" w14:textId="61ABFDF3" w:rsidR="003A56AD" w:rsidRPr="0061227C" w:rsidRDefault="003A56AD" w:rsidP="003A56AD">
            <w:pPr>
              <w:jc w:val="center"/>
              <w:rPr>
                <w:b/>
                <w:bCs/>
                <w:lang w:val="ro-RO"/>
              </w:rPr>
            </w:pPr>
            <w:r w:rsidRPr="0061227C">
              <w:rPr>
                <w:b/>
                <w:bCs/>
                <w:lang w:val="ro-RO"/>
              </w:rPr>
              <w:t>Nr.</w:t>
            </w:r>
          </w:p>
        </w:tc>
        <w:tc>
          <w:tcPr>
            <w:tcW w:w="5245" w:type="dxa"/>
          </w:tcPr>
          <w:p w14:paraId="39879192" w14:textId="43C62869" w:rsidR="003A56AD" w:rsidRPr="0061227C" w:rsidRDefault="003A56AD" w:rsidP="003A56AD">
            <w:pPr>
              <w:jc w:val="center"/>
              <w:rPr>
                <w:b/>
                <w:bCs/>
                <w:lang w:val="ro-RO"/>
              </w:rPr>
            </w:pPr>
            <w:r w:rsidRPr="0061227C">
              <w:rPr>
                <w:b/>
                <w:bCs/>
                <w:lang w:val="ro-RO"/>
              </w:rPr>
              <w:t>Denumirea livrabilelor</w:t>
            </w:r>
          </w:p>
        </w:tc>
        <w:tc>
          <w:tcPr>
            <w:tcW w:w="3117" w:type="dxa"/>
          </w:tcPr>
          <w:p w14:paraId="20E856F2" w14:textId="22A1E6DC" w:rsidR="003A56AD" w:rsidRPr="0061227C" w:rsidRDefault="003A56AD" w:rsidP="00974543">
            <w:pPr>
              <w:jc w:val="center"/>
              <w:rPr>
                <w:b/>
                <w:bCs/>
                <w:lang w:val="ro-RO"/>
              </w:rPr>
            </w:pPr>
            <w:r w:rsidRPr="0061227C">
              <w:rPr>
                <w:b/>
                <w:bCs/>
                <w:lang w:val="ro-RO"/>
              </w:rPr>
              <w:t>Data prezentării (în săptămâni după demararea prestării serviciilor)</w:t>
            </w:r>
          </w:p>
        </w:tc>
      </w:tr>
      <w:tr w:rsidR="003A56AD" w:rsidRPr="0061227C" w14:paraId="52744B73" w14:textId="77777777" w:rsidTr="003A56AD">
        <w:tc>
          <w:tcPr>
            <w:tcW w:w="988" w:type="dxa"/>
          </w:tcPr>
          <w:p w14:paraId="4CB4BE3E" w14:textId="77777777" w:rsidR="003A56AD" w:rsidRPr="0061227C" w:rsidRDefault="003A56AD" w:rsidP="00974543">
            <w:pPr>
              <w:pStyle w:val="ListParagraph"/>
              <w:numPr>
                <w:ilvl w:val="0"/>
                <w:numId w:val="9"/>
              </w:numPr>
              <w:jc w:val="both"/>
              <w:rPr>
                <w:lang w:val="ro-RO"/>
              </w:rPr>
            </w:pPr>
          </w:p>
        </w:tc>
        <w:tc>
          <w:tcPr>
            <w:tcW w:w="5245" w:type="dxa"/>
          </w:tcPr>
          <w:p w14:paraId="4CF33D2B" w14:textId="6DE7D973" w:rsidR="003A56AD" w:rsidRPr="0061227C" w:rsidRDefault="003A56AD" w:rsidP="003A56AD">
            <w:pPr>
              <w:jc w:val="both"/>
              <w:rPr>
                <w:lang w:val="ro-RO"/>
              </w:rPr>
            </w:pPr>
            <w:r w:rsidRPr="0061227C">
              <w:rPr>
                <w:lang w:val="ro-RO"/>
              </w:rPr>
              <w:t>Studiu de oportunitate</w:t>
            </w:r>
          </w:p>
        </w:tc>
        <w:tc>
          <w:tcPr>
            <w:tcW w:w="3117" w:type="dxa"/>
          </w:tcPr>
          <w:p w14:paraId="2A7E82FF" w14:textId="4244B0D6" w:rsidR="003A56AD" w:rsidRPr="0061227C" w:rsidRDefault="003A56AD" w:rsidP="00974543">
            <w:pPr>
              <w:jc w:val="center"/>
              <w:rPr>
                <w:lang w:val="ro-RO"/>
              </w:rPr>
            </w:pPr>
            <w:r w:rsidRPr="0061227C">
              <w:rPr>
                <w:lang w:val="ro-RO"/>
              </w:rPr>
              <w:t>4</w:t>
            </w:r>
          </w:p>
        </w:tc>
      </w:tr>
      <w:tr w:rsidR="003A56AD" w:rsidRPr="0061227C" w14:paraId="0DA7222D" w14:textId="77777777" w:rsidTr="003A56AD">
        <w:tc>
          <w:tcPr>
            <w:tcW w:w="988" w:type="dxa"/>
          </w:tcPr>
          <w:p w14:paraId="527F5A4F" w14:textId="77777777" w:rsidR="003A56AD" w:rsidRPr="0061227C" w:rsidRDefault="003A56AD" w:rsidP="00974543">
            <w:pPr>
              <w:pStyle w:val="ListParagraph"/>
              <w:numPr>
                <w:ilvl w:val="0"/>
                <w:numId w:val="9"/>
              </w:numPr>
              <w:jc w:val="both"/>
              <w:rPr>
                <w:lang w:val="ro-RO"/>
              </w:rPr>
            </w:pPr>
          </w:p>
        </w:tc>
        <w:tc>
          <w:tcPr>
            <w:tcW w:w="5245" w:type="dxa"/>
          </w:tcPr>
          <w:p w14:paraId="7AB8793D" w14:textId="0434EA23" w:rsidR="003A56AD" w:rsidRPr="0061227C" w:rsidRDefault="003A56AD" w:rsidP="003A56AD">
            <w:pPr>
              <w:jc w:val="both"/>
              <w:rPr>
                <w:lang w:val="ro-RO"/>
              </w:rPr>
            </w:pPr>
            <w:r w:rsidRPr="0061227C">
              <w:rPr>
                <w:lang w:val="ro-RO"/>
              </w:rPr>
              <w:t>Proiectul SF</w:t>
            </w:r>
          </w:p>
        </w:tc>
        <w:tc>
          <w:tcPr>
            <w:tcW w:w="3117" w:type="dxa"/>
          </w:tcPr>
          <w:p w14:paraId="1210129F" w14:textId="7D06E786" w:rsidR="003A56AD" w:rsidRPr="0061227C" w:rsidRDefault="003A56AD" w:rsidP="00974543">
            <w:pPr>
              <w:jc w:val="center"/>
              <w:rPr>
                <w:lang w:val="ro-RO"/>
              </w:rPr>
            </w:pPr>
            <w:r w:rsidRPr="0061227C">
              <w:rPr>
                <w:lang w:val="ro-RO"/>
              </w:rPr>
              <w:t>8</w:t>
            </w:r>
          </w:p>
        </w:tc>
      </w:tr>
      <w:tr w:rsidR="003A56AD" w:rsidRPr="0061227C" w14:paraId="55C70DE4" w14:textId="77777777" w:rsidTr="003A56AD">
        <w:tc>
          <w:tcPr>
            <w:tcW w:w="988" w:type="dxa"/>
          </w:tcPr>
          <w:p w14:paraId="5FD6C59A" w14:textId="77777777" w:rsidR="003A56AD" w:rsidRPr="0061227C" w:rsidRDefault="003A56AD" w:rsidP="00974543">
            <w:pPr>
              <w:pStyle w:val="ListParagraph"/>
              <w:numPr>
                <w:ilvl w:val="0"/>
                <w:numId w:val="9"/>
              </w:numPr>
              <w:jc w:val="both"/>
              <w:rPr>
                <w:lang w:val="ro-RO"/>
              </w:rPr>
            </w:pPr>
          </w:p>
        </w:tc>
        <w:tc>
          <w:tcPr>
            <w:tcW w:w="5245" w:type="dxa"/>
          </w:tcPr>
          <w:p w14:paraId="4D679A0F" w14:textId="7CF5FBCF" w:rsidR="003A56AD" w:rsidRPr="0061227C" w:rsidRDefault="003A56AD" w:rsidP="003A56AD">
            <w:pPr>
              <w:jc w:val="both"/>
              <w:rPr>
                <w:lang w:val="ro-RO"/>
              </w:rPr>
            </w:pPr>
            <w:r w:rsidRPr="0061227C">
              <w:rPr>
                <w:lang w:val="ro-RO"/>
              </w:rPr>
              <w:t>Mecanism de funcționare</w:t>
            </w:r>
          </w:p>
        </w:tc>
        <w:tc>
          <w:tcPr>
            <w:tcW w:w="3117" w:type="dxa"/>
          </w:tcPr>
          <w:p w14:paraId="1A8E079F" w14:textId="7F18476F" w:rsidR="003A56AD" w:rsidRPr="0061227C" w:rsidRDefault="003A56AD" w:rsidP="00974543">
            <w:pPr>
              <w:jc w:val="center"/>
              <w:rPr>
                <w:lang w:val="ro-RO"/>
              </w:rPr>
            </w:pPr>
            <w:r w:rsidRPr="0061227C">
              <w:rPr>
                <w:lang w:val="ro-RO"/>
              </w:rPr>
              <w:t>10</w:t>
            </w:r>
          </w:p>
        </w:tc>
      </w:tr>
      <w:tr w:rsidR="003A56AD" w:rsidRPr="0061227C" w14:paraId="5DDFF23F" w14:textId="77777777" w:rsidTr="003A56AD">
        <w:tc>
          <w:tcPr>
            <w:tcW w:w="988" w:type="dxa"/>
          </w:tcPr>
          <w:p w14:paraId="506CC755" w14:textId="77777777" w:rsidR="003A56AD" w:rsidRPr="0061227C" w:rsidRDefault="003A56AD" w:rsidP="00974543">
            <w:pPr>
              <w:pStyle w:val="ListParagraph"/>
              <w:numPr>
                <w:ilvl w:val="0"/>
                <w:numId w:val="9"/>
              </w:numPr>
              <w:jc w:val="both"/>
              <w:rPr>
                <w:lang w:val="ro-RO"/>
              </w:rPr>
            </w:pPr>
          </w:p>
        </w:tc>
        <w:tc>
          <w:tcPr>
            <w:tcW w:w="5245" w:type="dxa"/>
          </w:tcPr>
          <w:p w14:paraId="7827EA1B" w14:textId="4776026B" w:rsidR="003A56AD" w:rsidRPr="0061227C" w:rsidRDefault="003A56AD" w:rsidP="003A56AD">
            <w:pPr>
              <w:jc w:val="both"/>
              <w:rPr>
                <w:lang w:val="ro-RO"/>
              </w:rPr>
            </w:pPr>
            <w:r w:rsidRPr="0061227C">
              <w:rPr>
                <w:lang w:val="ro-RO"/>
              </w:rPr>
              <w:t>Documentație de atribuire</w:t>
            </w:r>
          </w:p>
        </w:tc>
        <w:tc>
          <w:tcPr>
            <w:tcW w:w="3117" w:type="dxa"/>
          </w:tcPr>
          <w:p w14:paraId="2E4D1308" w14:textId="7A40920F" w:rsidR="003A56AD" w:rsidRPr="0061227C" w:rsidRDefault="003A56AD" w:rsidP="00974543">
            <w:pPr>
              <w:jc w:val="center"/>
              <w:rPr>
                <w:lang w:val="ro-RO"/>
              </w:rPr>
            </w:pPr>
            <w:r w:rsidRPr="0061227C">
              <w:rPr>
                <w:lang w:val="ro-RO"/>
              </w:rPr>
              <w:t>12</w:t>
            </w:r>
          </w:p>
        </w:tc>
      </w:tr>
      <w:tr w:rsidR="003A56AD" w:rsidRPr="0061227C" w14:paraId="1A0E3320" w14:textId="77777777" w:rsidTr="003A56AD">
        <w:tc>
          <w:tcPr>
            <w:tcW w:w="988" w:type="dxa"/>
          </w:tcPr>
          <w:p w14:paraId="735D3AA4" w14:textId="77777777" w:rsidR="003A56AD" w:rsidRPr="0061227C" w:rsidRDefault="003A56AD" w:rsidP="00974543">
            <w:pPr>
              <w:pStyle w:val="ListParagraph"/>
              <w:numPr>
                <w:ilvl w:val="0"/>
                <w:numId w:val="9"/>
              </w:numPr>
              <w:jc w:val="both"/>
              <w:rPr>
                <w:lang w:val="ro-RO"/>
              </w:rPr>
            </w:pPr>
          </w:p>
        </w:tc>
        <w:tc>
          <w:tcPr>
            <w:tcW w:w="5245" w:type="dxa"/>
          </w:tcPr>
          <w:p w14:paraId="5A9FAB06" w14:textId="01FB9651" w:rsidR="003A56AD" w:rsidRPr="0061227C" w:rsidRDefault="003A56AD" w:rsidP="003A56AD">
            <w:pPr>
              <w:jc w:val="both"/>
              <w:rPr>
                <w:lang w:val="ro-RO"/>
              </w:rPr>
            </w:pPr>
            <w:r w:rsidRPr="0061227C">
              <w:rPr>
                <w:lang w:val="ro-RO"/>
              </w:rPr>
              <w:t>SF finală</w:t>
            </w:r>
          </w:p>
        </w:tc>
        <w:tc>
          <w:tcPr>
            <w:tcW w:w="3117" w:type="dxa"/>
          </w:tcPr>
          <w:p w14:paraId="3A70F25A" w14:textId="56B930B0" w:rsidR="003A56AD" w:rsidRPr="0061227C" w:rsidRDefault="003A56AD" w:rsidP="00974543">
            <w:pPr>
              <w:jc w:val="center"/>
              <w:rPr>
                <w:lang w:val="ro-RO"/>
              </w:rPr>
            </w:pPr>
            <w:r w:rsidRPr="0061227C">
              <w:rPr>
                <w:lang w:val="ro-RO"/>
              </w:rPr>
              <w:t>16</w:t>
            </w:r>
          </w:p>
        </w:tc>
      </w:tr>
    </w:tbl>
    <w:p w14:paraId="05913A03" w14:textId="112892C0" w:rsidR="003A56AD" w:rsidRPr="0061227C" w:rsidRDefault="003A56AD" w:rsidP="003A56AD">
      <w:pPr>
        <w:jc w:val="both"/>
        <w:rPr>
          <w:lang w:val="ro-RO"/>
        </w:rPr>
      </w:pPr>
    </w:p>
    <w:p w14:paraId="5C928A45" w14:textId="4F4C347D" w:rsidR="00974543" w:rsidRPr="0061227C" w:rsidRDefault="00974543" w:rsidP="00974543">
      <w:pPr>
        <w:pStyle w:val="ListParagraph"/>
        <w:numPr>
          <w:ilvl w:val="0"/>
          <w:numId w:val="1"/>
        </w:numPr>
        <w:jc w:val="both"/>
        <w:rPr>
          <w:b/>
          <w:bCs/>
          <w:lang w:val="ro-RO"/>
        </w:rPr>
      </w:pPr>
      <w:r w:rsidRPr="0061227C">
        <w:rPr>
          <w:b/>
          <w:bCs/>
          <w:lang w:val="ro-RO"/>
        </w:rPr>
        <w:t>Profilul consultantului</w:t>
      </w:r>
    </w:p>
    <w:p w14:paraId="39868490" w14:textId="23F636D2" w:rsidR="008666E4" w:rsidRPr="0061227C" w:rsidRDefault="008666E4" w:rsidP="008666E4">
      <w:pPr>
        <w:jc w:val="both"/>
        <w:rPr>
          <w:b/>
          <w:bCs/>
          <w:lang w:val="ro-RO"/>
        </w:rPr>
      </w:pPr>
    </w:p>
    <w:p w14:paraId="0DB9ECF6" w14:textId="77777777" w:rsidR="008666E4" w:rsidRPr="0061227C" w:rsidRDefault="008666E4" w:rsidP="008666E4">
      <w:pPr>
        <w:jc w:val="both"/>
        <w:rPr>
          <w:lang w:val="ro-RO"/>
        </w:rPr>
      </w:pPr>
      <w:r w:rsidRPr="0061227C">
        <w:rPr>
          <w:lang w:val="ro-RO"/>
        </w:rPr>
        <w:t>Se preconizează angajarea companiei de consultanța (asocierii de companii) care posedă experiența în domeniu și dispune de personal calificat.</w:t>
      </w:r>
    </w:p>
    <w:p w14:paraId="78514EC8" w14:textId="77777777" w:rsidR="008666E4" w:rsidRPr="0061227C" w:rsidRDefault="008666E4" w:rsidP="008666E4">
      <w:pPr>
        <w:jc w:val="both"/>
        <w:rPr>
          <w:lang w:val="ro-RO"/>
        </w:rPr>
      </w:pPr>
    </w:p>
    <w:p w14:paraId="5967536D" w14:textId="77777777" w:rsidR="008666E4" w:rsidRPr="0061227C" w:rsidRDefault="008666E4" w:rsidP="008666E4">
      <w:pPr>
        <w:pStyle w:val="ListParagraph"/>
        <w:numPr>
          <w:ilvl w:val="0"/>
          <w:numId w:val="10"/>
        </w:numPr>
        <w:jc w:val="both"/>
        <w:rPr>
          <w:lang w:val="ro-RO"/>
        </w:rPr>
      </w:pPr>
      <w:r w:rsidRPr="0061227C">
        <w:rPr>
          <w:lang w:val="ro-RO"/>
        </w:rPr>
        <w:t>Cerințe fața de Consultant ca companie</w:t>
      </w:r>
    </w:p>
    <w:p w14:paraId="516926A2" w14:textId="6356B312" w:rsidR="008666E4" w:rsidRPr="0061227C" w:rsidRDefault="008666E4" w:rsidP="008666E4">
      <w:pPr>
        <w:pStyle w:val="ListParagraph"/>
        <w:numPr>
          <w:ilvl w:val="0"/>
          <w:numId w:val="11"/>
        </w:numPr>
        <w:jc w:val="both"/>
        <w:rPr>
          <w:lang w:val="ro-RO"/>
        </w:rPr>
      </w:pPr>
      <w:r w:rsidRPr="0061227C">
        <w:rPr>
          <w:lang w:val="ro-RO"/>
        </w:rPr>
        <w:t>Cel puțin 5 ani de activitate în domeniu de consultanța</w:t>
      </w:r>
    </w:p>
    <w:p w14:paraId="37A1DF0C" w14:textId="68534C58" w:rsidR="008666E4" w:rsidRPr="0061227C" w:rsidRDefault="008666E4" w:rsidP="008666E4">
      <w:pPr>
        <w:pStyle w:val="ListParagraph"/>
        <w:numPr>
          <w:ilvl w:val="0"/>
          <w:numId w:val="11"/>
        </w:numPr>
        <w:jc w:val="both"/>
        <w:rPr>
          <w:lang w:val="ro-RO"/>
        </w:rPr>
      </w:pPr>
      <w:r w:rsidRPr="0061227C">
        <w:rPr>
          <w:lang w:val="ro-RO"/>
        </w:rPr>
        <w:t>Cel puțin 3 ani de experiența în elaborarea studiilor de fezabilitate</w:t>
      </w:r>
    </w:p>
    <w:p w14:paraId="319CD2E4" w14:textId="62F2DEEF" w:rsidR="008666E4" w:rsidRPr="0061227C" w:rsidRDefault="008666E4" w:rsidP="008666E4">
      <w:pPr>
        <w:pStyle w:val="ListParagraph"/>
        <w:numPr>
          <w:ilvl w:val="0"/>
          <w:numId w:val="11"/>
        </w:numPr>
        <w:jc w:val="both"/>
        <w:rPr>
          <w:lang w:val="ro-RO"/>
        </w:rPr>
      </w:pPr>
      <w:r w:rsidRPr="0061227C">
        <w:rPr>
          <w:lang w:val="ro-RO"/>
        </w:rPr>
        <w:t>Experiența în elaborarea studiilor în domeniu parteneriatului public-privat / concesiune.</w:t>
      </w:r>
    </w:p>
    <w:p w14:paraId="1A5F6678" w14:textId="799475CA" w:rsidR="008666E4" w:rsidRPr="0061227C" w:rsidRDefault="008666E4" w:rsidP="008666E4">
      <w:pPr>
        <w:jc w:val="both"/>
        <w:rPr>
          <w:lang w:val="ro-RO"/>
        </w:rPr>
      </w:pPr>
    </w:p>
    <w:p w14:paraId="4F77D1F9" w14:textId="7883F86F" w:rsidR="008666E4" w:rsidRPr="0061227C" w:rsidRDefault="008666E4" w:rsidP="008666E4">
      <w:pPr>
        <w:pStyle w:val="ListParagraph"/>
        <w:numPr>
          <w:ilvl w:val="0"/>
          <w:numId w:val="10"/>
        </w:numPr>
        <w:jc w:val="both"/>
        <w:rPr>
          <w:lang w:val="ro-RO"/>
        </w:rPr>
      </w:pPr>
      <w:r w:rsidRPr="0061227C">
        <w:rPr>
          <w:lang w:val="ro-RO"/>
        </w:rPr>
        <w:t>Cerințe fața de experți-cheie</w:t>
      </w:r>
    </w:p>
    <w:p w14:paraId="79DEA46B" w14:textId="3B4D692E" w:rsidR="008666E4" w:rsidRPr="0061227C" w:rsidRDefault="008666E4" w:rsidP="008666E4">
      <w:pPr>
        <w:jc w:val="both"/>
        <w:rPr>
          <w:lang w:val="ro-RO"/>
        </w:rPr>
      </w:pPr>
    </w:p>
    <w:tbl>
      <w:tblPr>
        <w:tblStyle w:val="TableGrid"/>
        <w:tblW w:w="0" w:type="auto"/>
        <w:tblLook w:val="04A0" w:firstRow="1" w:lastRow="0" w:firstColumn="1" w:lastColumn="0" w:noHBand="0" w:noVBand="1"/>
      </w:tblPr>
      <w:tblGrid>
        <w:gridCol w:w="1710"/>
        <w:gridCol w:w="2559"/>
        <w:gridCol w:w="2544"/>
        <w:gridCol w:w="2537"/>
      </w:tblGrid>
      <w:tr w:rsidR="00BC07B4" w:rsidRPr="0061227C" w14:paraId="671D3AE4" w14:textId="77777777" w:rsidTr="001F0DAC">
        <w:tc>
          <w:tcPr>
            <w:tcW w:w="1710" w:type="dxa"/>
          </w:tcPr>
          <w:p w14:paraId="1E0F3D38" w14:textId="43F9816B" w:rsidR="008666E4" w:rsidRPr="0061227C" w:rsidRDefault="008666E4" w:rsidP="001F0DAC">
            <w:pPr>
              <w:jc w:val="center"/>
              <w:rPr>
                <w:b/>
                <w:bCs/>
                <w:lang w:val="ro-RO"/>
              </w:rPr>
            </w:pPr>
            <w:r w:rsidRPr="0061227C">
              <w:rPr>
                <w:b/>
                <w:bCs/>
                <w:lang w:val="ro-RO"/>
              </w:rPr>
              <w:t>Denumire</w:t>
            </w:r>
          </w:p>
        </w:tc>
        <w:tc>
          <w:tcPr>
            <w:tcW w:w="2559" w:type="dxa"/>
          </w:tcPr>
          <w:p w14:paraId="49AC6276" w14:textId="347EFA3D" w:rsidR="008666E4" w:rsidRPr="0061227C" w:rsidRDefault="008666E4" w:rsidP="001F0DAC">
            <w:pPr>
              <w:jc w:val="center"/>
              <w:rPr>
                <w:b/>
                <w:bCs/>
                <w:lang w:val="ro-RO"/>
              </w:rPr>
            </w:pPr>
            <w:r w:rsidRPr="0061227C">
              <w:rPr>
                <w:b/>
                <w:bCs/>
                <w:lang w:val="ro-RO"/>
              </w:rPr>
              <w:t>Calificare generală</w:t>
            </w:r>
          </w:p>
        </w:tc>
        <w:tc>
          <w:tcPr>
            <w:tcW w:w="2544" w:type="dxa"/>
          </w:tcPr>
          <w:p w14:paraId="754A2FE4" w14:textId="11D524D9" w:rsidR="008666E4" w:rsidRPr="0061227C" w:rsidRDefault="008666E4" w:rsidP="001F0DAC">
            <w:pPr>
              <w:jc w:val="center"/>
              <w:rPr>
                <w:b/>
                <w:bCs/>
                <w:lang w:val="ro-RO"/>
              </w:rPr>
            </w:pPr>
            <w:r w:rsidRPr="0061227C">
              <w:rPr>
                <w:b/>
                <w:bCs/>
                <w:lang w:val="ro-RO"/>
              </w:rPr>
              <w:t>Experiența generală</w:t>
            </w:r>
          </w:p>
        </w:tc>
        <w:tc>
          <w:tcPr>
            <w:tcW w:w="2537" w:type="dxa"/>
          </w:tcPr>
          <w:p w14:paraId="3A1C34AA" w14:textId="16F1CA64" w:rsidR="008666E4" w:rsidRPr="0061227C" w:rsidRDefault="008666E4" w:rsidP="001F0DAC">
            <w:pPr>
              <w:jc w:val="center"/>
              <w:rPr>
                <w:b/>
                <w:bCs/>
                <w:lang w:val="ro-RO"/>
              </w:rPr>
            </w:pPr>
            <w:r w:rsidRPr="0061227C">
              <w:rPr>
                <w:b/>
                <w:bCs/>
                <w:lang w:val="ro-RO"/>
              </w:rPr>
              <w:t>Experiența specifică</w:t>
            </w:r>
          </w:p>
        </w:tc>
      </w:tr>
      <w:tr w:rsidR="00BC07B4" w:rsidRPr="0061227C" w14:paraId="5CCE4988" w14:textId="77777777" w:rsidTr="001F0DAC">
        <w:tc>
          <w:tcPr>
            <w:tcW w:w="1710" w:type="dxa"/>
          </w:tcPr>
          <w:p w14:paraId="64E3D30B" w14:textId="0B902A9A" w:rsidR="008666E4" w:rsidRPr="0061227C" w:rsidRDefault="008666E4" w:rsidP="008666E4">
            <w:pPr>
              <w:jc w:val="both"/>
              <w:rPr>
                <w:lang w:val="ro-RO"/>
              </w:rPr>
            </w:pPr>
            <w:r w:rsidRPr="0061227C">
              <w:rPr>
                <w:lang w:val="ro-RO"/>
              </w:rPr>
              <w:t>KE-1</w:t>
            </w:r>
          </w:p>
          <w:p w14:paraId="67693490" w14:textId="3406FFCD" w:rsidR="008666E4" w:rsidRPr="0061227C" w:rsidRDefault="008666E4" w:rsidP="008666E4">
            <w:pPr>
              <w:jc w:val="both"/>
              <w:rPr>
                <w:lang w:val="ro-RO"/>
              </w:rPr>
            </w:pPr>
            <w:r w:rsidRPr="0061227C">
              <w:rPr>
                <w:lang w:val="ro-RO"/>
              </w:rPr>
              <w:t>Lider echipei</w:t>
            </w:r>
          </w:p>
        </w:tc>
        <w:tc>
          <w:tcPr>
            <w:tcW w:w="2559" w:type="dxa"/>
          </w:tcPr>
          <w:p w14:paraId="51382D22" w14:textId="5B414F7B" w:rsidR="008666E4" w:rsidRPr="0061227C" w:rsidRDefault="00BC07B4" w:rsidP="008666E4">
            <w:pPr>
              <w:jc w:val="both"/>
              <w:rPr>
                <w:lang w:val="ro-RO"/>
              </w:rPr>
            </w:pPr>
            <w:r w:rsidRPr="0061227C">
              <w:rPr>
                <w:lang w:val="ro-RO"/>
              </w:rPr>
              <w:t xml:space="preserve">MBA/MSc sau ciclu universitar de 5 ani </w:t>
            </w:r>
          </w:p>
          <w:p w14:paraId="0CA7D43F" w14:textId="77777777" w:rsidR="00BC07B4" w:rsidRPr="0061227C" w:rsidRDefault="00BC07B4" w:rsidP="00BC07B4">
            <w:pPr>
              <w:rPr>
                <w:lang w:val="ro-RO"/>
              </w:rPr>
            </w:pPr>
            <w:r w:rsidRPr="0061227C">
              <w:rPr>
                <w:lang w:val="ro-RO"/>
              </w:rPr>
              <w:t>Educație post-universitară va fi un avantaj</w:t>
            </w:r>
          </w:p>
          <w:p w14:paraId="5095953A" w14:textId="77777777" w:rsidR="00BC07B4" w:rsidRPr="0061227C" w:rsidRDefault="00BC07B4" w:rsidP="00BC07B4">
            <w:pPr>
              <w:rPr>
                <w:lang w:val="ro-RO"/>
              </w:rPr>
            </w:pPr>
            <w:r w:rsidRPr="0061227C">
              <w:rPr>
                <w:lang w:val="ro-RO"/>
              </w:rPr>
              <w:t xml:space="preserve">Cunoaștere limbii  române </w:t>
            </w:r>
          </w:p>
          <w:p w14:paraId="4A125C31" w14:textId="5272CAB0" w:rsidR="00BC07B4" w:rsidRPr="0061227C" w:rsidRDefault="00BC07B4" w:rsidP="00BC07B4">
            <w:pPr>
              <w:rPr>
                <w:lang w:val="ro-RO"/>
              </w:rPr>
            </w:pPr>
            <w:r w:rsidRPr="0061227C">
              <w:rPr>
                <w:lang w:val="ro-RO"/>
              </w:rPr>
              <w:lastRenderedPageBreak/>
              <w:t>Cunoaștere limbii engleze va fi un avantaj</w:t>
            </w:r>
          </w:p>
        </w:tc>
        <w:tc>
          <w:tcPr>
            <w:tcW w:w="2544" w:type="dxa"/>
          </w:tcPr>
          <w:p w14:paraId="3D67A283" w14:textId="2C1779A3" w:rsidR="008666E4" w:rsidRPr="0061227C" w:rsidRDefault="00BC07B4" w:rsidP="001F0DAC">
            <w:pPr>
              <w:rPr>
                <w:lang w:val="ro-RO"/>
              </w:rPr>
            </w:pPr>
            <w:r w:rsidRPr="0061227C">
              <w:rPr>
                <w:lang w:val="ro-RO"/>
              </w:rPr>
              <w:lastRenderedPageBreak/>
              <w:t>Cel puțin 15 ani de experiența generală în domeniu de consultanța, management, studii</w:t>
            </w:r>
          </w:p>
        </w:tc>
        <w:tc>
          <w:tcPr>
            <w:tcW w:w="2537" w:type="dxa"/>
          </w:tcPr>
          <w:p w14:paraId="4E672CCE" w14:textId="28208E73" w:rsidR="008666E4" w:rsidRPr="0061227C" w:rsidRDefault="00BC07B4" w:rsidP="001F0DAC">
            <w:pPr>
              <w:rPr>
                <w:lang w:val="ro-RO"/>
              </w:rPr>
            </w:pPr>
            <w:r w:rsidRPr="0061227C">
              <w:rPr>
                <w:lang w:val="ro-RO"/>
              </w:rPr>
              <w:t>Cel puțin 5 ani de experiența în calitate de lider de echipa</w:t>
            </w:r>
          </w:p>
          <w:p w14:paraId="0405907F" w14:textId="2DEB17EB" w:rsidR="001F0DAC" w:rsidRPr="0061227C" w:rsidRDefault="001F0DAC" w:rsidP="001F0DAC">
            <w:pPr>
              <w:rPr>
                <w:lang w:val="ro-RO"/>
              </w:rPr>
            </w:pPr>
            <w:r w:rsidRPr="0061227C">
              <w:rPr>
                <w:lang w:val="ro-RO"/>
              </w:rPr>
              <w:t>Experiența în elaborarea studiilor de fezabilitate</w:t>
            </w:r>
          </w:p>
          <w:p w14:paraId="4BD245D8" w14:textId="0A2A78CD" w:rsidR="00BC07B4" w:rsidRPr="0061227C" w:rsidRDefault="00BC07B4" w:rsidP="001F0DAC">
            <w:pPr>
              <w:rPr>
                <w:lang w:val="ro-RO"/>
              </w:rPr>
            </w:pPr>
            <w:r w:rsidRPr="0061227C">
              <w:rPr>
                <w:lang w:val="ro-RO"/>
              </w:rPr>
              <w:lastRenderedPageBreak/>
              <w:t>Cel puțin un contract similar</w:t>
            </w:r>
          </w:p>
        </w:tc>
      </w:tr>
      <w:tr w:rsidR="00BC07B4" w:rsidRPr="0061227C" w14:paraId="0210A004" w14:textId="77777777" w:rsidTr="001F0DAC">
        <w:tc>
          <w:tcPr>
            <w:tcW w:w="1710" w:type="dxa"/>
          </w:tcPr>
          <w:p w14:paraId="70E7CCFB" w14:textId="05011D4B" w:rsidR="008666E4" w:rsidRPr="0061227C" w:rsidRDefault="008666E4" w:rsidP="008666E4">
            <w:pPr>
              <w:jc w:val="both"/>
              <w:rPr>
                <w:lang w:val="ro-RO"/>
              </w:rPr>
            </w:pPr>
            <w:r w:rsidRPr="0061227C">
              <w:rPr>
                <w:lang w:val="ro-RO"/>
              </w:rPr>
              <w:lastRenderedPageBreak/>
              <w:t>KE-2 Specialist financiar</w:t>
            </w:r>
          </w:p>
        </w:tc>
        <w:tc>
          <w:tcPr>
            <w:tcW w:w="2559" w:type="dxa"/>
          </w:tcPr>
          <w:p w14:paraId="25FEE872" w14:textId="68C1F7CB" w:rsidR="00BC07B4" w:rsidRPr="0061227C" w:rsidRDefault="00BC07B4" w:rsidP="00BC07B4">
            <w:pPr>
              <w:jc w:val="both"/>
              <w:rPr>
                <w:lang w:val="ro-RO"/>
              </w:rPr>
            </w:pPr>
            <w:r w:rsidRPr="0061227C">
              <w:rPr>
                <w:lang w:val="ro-RO"/>
              </w:rPr>
              <w:t>MBA/MSc sau ciclu universitar de 5 ani în domeniu finanțelor, contabilității, economiei, managementului</w:t>
            </w:r>
          </w:p>
          <w:p w14:paraId="3F281948" w14:textId="77777777" w:rsidR="00BC07B4" w:rsidRPr="0061227C" w:rsidRDefault="00BC07B4" w:rsidP="00BC07B4">
            <w:pPr>
              <w:rPr>
                <w:lang w:val="ro-RO"/>
              </w:rPr>
            </w:pPr>
            <w:r w:rsidRPr="0061227C">
              <w:rPr>
                <w:lang w:val="ro-RO"/>
              </w:rPr>
              <w:t>Educație post-universitară va fi un avantaj</w:t>
            </w:r>
          </w:p>
          <w:p w14:paraId="005EBE05" w14:textId="77777777" w:rsidR="00BC07B4" w:rsidRPr="0061227C" w:rsidRDefault="00BC07B4" w:rsidP="00BC07B4">
            <w:pPr>
              <w:rPr>
                <w:lang w:val="ro-RO"/>
              </w:rPr>
            </w:pPr>
            <w:r w:rsidRPr="0061227C">
              <w:rPr>
                <w:lang w:val="ro-RO"/>
              </w:rPr>
              <w:t xml:space="preserve">Cunoaștere limbii  române </w:t>
            </w:r>
          </w:p>
          <w:p w14:paraId="07AFAC94" w14:textId="4DAC77A5" w:rsidR="008666E4" w:rsidRPr="0061227C" w:rsidRDefault="00BC07B4" w:rsidP="00BC07B4">
            <w:pPr>
              <w:rPr>
                <w:lang w:val="ro-RO"/>
              </w:rPr>
            </w:pPr>
            <w:r w:rsidRPr="0061227C">
              <w:rPr>
                <w:lang w:val="ro-RO"/>
              </w:rPr>
              <w:t>Cunoaștere limbii engleze va fi un avantaj</w:t>
            </w:r>
          </w:p>
        </w:tc>
        <w:tc>
          <w:tcPr>
            <w:tcW w:w="2544" w:type="dxa"/>
          </w:tcPr>
          <w:p w14:paraId="797C52C0" w14:textId="533D3689" w:rsidR="008666E4" w:rsidRPr="0061227C" w:rsidRDefault="00BC07B4" w:rsidP="001F0DAC">
            <w:pPr>
              <w:rPr>
                <w:lang w:val="ro-RO"/>
              </w:rPr>
            </w:pPr>
            <w:r w:rsidRPr="0061227C">
              <w:rPr>
                <w:lang w:val="ro-RO"/>
              </w:rPr>
              <w:t>Cel puțin 10 ani de experiența generală în domeniu financiar-analitic</w:t>
            </w:r>
          </w:p>
        </w:tc>
        <w:tc>
          <w:tcPr>
            <w:tcW w:w="2537" w:type="dxa"/>
          </w:tcPr>
          <w:p w14:paraId="317F774D" w14:textId="1F3058B7" w:rsidR="008666E4" w:rsidRPr="0061227C" w:rsidRDefault="001F0DAC" w:rsidP="001F0DAC">
            <w:pPr>
              <w:rPr>
                <w:lang w:val="ro-RO"/>
              </w:rPr>
            </w:pPr>
            <w:r w:rsidRPr="0061227C">
              <w:rPr>
                <w:lang w:val="ro-RO"/>
              </w:rPr>
              <w:t>Cel puțin 5 ani de experiența în elaborarea studiilor de fezabilitate / modelelor financiare</w:t>
            </w:r>
          </w:p>
        </w:tc>
      </w:tr>
      <w:tr w:rsidR="001F0DAC" w:rsidRPr="0061227C" w14:paraId="0194E682" w14:textId="77777777" w:rsidTr="001F0DAC">
        <w:tc>
          <w:tcPr>
            <w:tcW w:w="1710" w:type="dxa"/>
          </w:tcPr>
          <w:p w14:paraId="52D7612A" w14:textId="4CF48D4F" w:rsidR="001F0DAC" w:rsidRPr="0061227C" w:rsidRDefault="001F0DAC" w:rsidP="001F0DAC">
            <w:pPr>
              <w:jc w:val="both"/>
              <w:rPr>
                <w:lang w:val="ro-RO"/>
              </w:rPr>
            </w:pPr>
            <w:r w:rsidRPr="0061227C">
              <w:rPr>
                <w:lang w:val="ro-RO"/>
              </w:rPr>
              <w:t>KE-3 Expert in PPP/concesiuni</w:t>
            </w:r>
          </w:p>
        </w:tc>
        <w:tc>
          <w:tcPr>
            <w:tcW w:w="2559" w:type="dxa"/>
          </w:tcPr>
          <w:p w14:paraId="1FC2DDDF" w14:textId="77777777" w:rsidR="001F0DAC" w:rsidRPr="0061227C" w:rsidRDefault="001F0DAC" w:rsidP="001F0DAC">
            <w:pPr>
              <w:jc w:val="both"/>
              <w:rPr>
                <w:lang w:val="ro-RO"/>
              </w:rPr>
            </w:pPr>
            <w:r w:rsidRPr="0061227C">
              <w:rPr>
                <w:lang w:val="ro-RO"/>
              </w:rPr>
              <w:t xml:space="preserve">MBA/MSc sau ciclu universitar de 5 ani </w:t>
            </w:r>
          </w:p>
          <w:p w14:paraId="11C6811E" w14:textId="77777777" w:rsidR="001F0DAC" w:rsidRPr="0061227C" w:rsidRDefault="001F0DAC" w:rsidP="001F0DAC">
            <w:pPr>
              <w:rPr>
                <w:lang w:val="ro-RO"/>
              </w:rPr>
            </w:pPr>
            <w:r w:rsidRPr="0061227C">
              <w:rPr>
                <w:lang w:val="ro-RO"/>
              </w:rPr>
              <w:t>Educație post-universitară va fi un avantaj</w:t>
            </w:r>
          </w:p>
          <w:p w14:paraId="07540BDB" w14:textId="77777777" w:rsidR="001F0DAC" w:rsidRPr="0061227C" w:rsidRDefault="001F0DAC" w:rsidP="001F0DAC">
            <w:pPr>
              <w:rPr>
                <w:lang w:val="ro-RO"/>
              </w:rPr>
            </w:pPr>
            <w:r w:rsidRPr="0061227C">
              <w:rPr>
                <w:lang w:val="ro-RO"/>
              </w:rPr>
              <w:t xml:space="preserve">Cunoaștere limbii  române </w:t>
            </w:r>
          </w:p>
          <w:p w14:paraId="2BB76C71" w14:textId="3E578DA0" w:rsidR="001F0DAC" w:rsidRPr="0061227C" w:rsidRDefault="001F0DAC" w:rsidP="001F0DAC">
            <w:pPr>
              <w:jc w:val="both"/>
              <w:rPr>
                <w:lang w:val="ro-RO"/>
              </w:rPr>
            </w:pPr>
            <w:r w:rsidRPr="0061227C">
              <w:rPr>
                <w:lang w:val="ro-RO"/>
              </w:rPr>
              <w:t>Cunoaștere limbii engleze va fi un avantaj</w:t>
            </w:r>
          </w:p>
        </w:tc>
        <w:tc>
          <w:tcPr>
            <w:tcW w:w="2544" w:type="dxa"/>
          </w:tcPr>
          <w:p w14:paraId="36C7EFE9" w14:textId="35C186AD" w:rsidR="001F0DAC" w:rsidRPr="0061227C" w:rsidRDefault="001F0DAC" w:rsidP="001F0DAC">
            <w:pPr>
              <w:rPr>
                <w:lang w:val="ro-RO"/>
              </w:rPr>
            </w:pPr>
            <w:r w:rsidRPr="0061227C">
              <w:rPr>
                <w:lang w:val="ro-RO"/>
              </w:rPr>
              <w:t>Cel puțin 10 ani de experiența generală în domeniu managementului / legal / administrare publică</w:t>
            </w:r>
          </w:p>
        </w:tc>
        <w:tc>
          <w:tcPr>
            <w:tcW w:w="2537" w:type="dxa"/>
          </w:tcPr>
          <w:p w14:paraId="057E8620" w14:textId="77777777" w:rsidR="001F0DAC" w:rsidRPr="0061227C" w:rsidRDefault="001F0DAC" w:rsidP="001F0DAC">
            <w:pPr>
              <w:rPr>
                <w:lang w:val="ro-RO"/>
              </w:rPr>
            </w:pPr>
            <w:r w:rsidRPr="0061227C">
              <w:rPr>
                <w:lang w:val="ro-RO"/>
              </w:rPr>
              <w:t>Cel puțin 5 ani experiența în domeniu  PPP/concesiuni</w:t>
            </w:r>
          </w:p>
          <w:p w14:paraId="2F4B94B6" w14:textId="0A6689FE" w:rsidR="001F0DAC" w:rsidRPr="0061227C" w:rsidRDefault="001F0DAC" w:rsidP="001F0DAC">
            <w:pPr>
              <w:rPr>
                <w:lang w:val="ro-RO"/>
              </w:rPr>
            </w:pPr>
            <w:r w:rsidRPr="0061227C">
              <w:rPr>
                <w:lang w:val="ro-RO"/>
              </w:rPr>
              <w:t>Cel puțin un contract similar</w:t>
            </w:r>
          </w:p>
        </w:tc>
      </w:tr>
      <w:tr w:rsidR="001F0DAC" w:rsidRPr="00784778" w14:paraId="3270220D" w14:textId="77777777" w:rsidTr="001F0DAC">
        <w:tc>
          <w:tcPr>
            <w:tcW w:w="1710" w:type="dxa"/>
          </w:tcPr>
          <w:p w14:paraId="54DBA282" w14:textId="3FAD7F3D" w:rsidR="001F0DAC" w:rsidRPr="0061227C" w:rsidRDefault="001F0DAC" w:rsidP="00784778">
            <w:pPr>
              <w:rPr>
                <w:lang w:val="ro-RO"/>
              </w:rPr>
            </w:pPr>
            <w:r w:rsidRPr="0061227C">
              <w:rPr>
                <w:lang w:val="ro-RO"/>
              </w:rPr>
              <w:t>KE-4</w:t>
            </w:r>
            <w:r w:rsidR="00784778" w:rsidRPr="0061227C">
              <w:rPr>
                <w:lang w:val="ro-RO"/>
              </w:rPr>
              <w:t xml:space="preserve"> Expert în procesare subproduselor de origine animală</w:t>
            </w:r>
          </w:p>
        </w:tc>
        <w:tc>
          <w:tcPr>
            <w:tcW w:w="2559" w:type="dxa"/>
          </w:tcPr>
          <w:p w14:paraId="6AFD0DE6" w14:textId="7EE97287" w:rsidR="00784778" w:rsidRPr="0061227C" w:rsidRDefault="00784778" w:rsidP="00784778">
            <w:pPr>
              <w:rPr>
                <w:lang w:val="ro-RO"/>
              </w:rPr>
            </w:pPr>
            <w:r w:rsidRPr="0061227C">
              <w:rPr>
                <w:lang w:val="ro-RO"/>
              </w:rPr>
              <w:t>MBA/MSc sau ciclu universitar de 5 ani în zootehnie, veterinare sau alt domeniu relevant</w:t>
            </w:r>
          </w:p>
          <w:p w14:paraId="6F5F8AA7" w14:textId="77777777" w:rsidR="00784778" w:rsidRPr="0061227C" w:rsidRDefault="00784778" w:rsidP="00784778">
            <w:pPr>
              <w:rPr>
                <w:lang w:val="ro-RO"/>
              </w:rPr>
            </w:pPr>
            <w:r w:rsidRPr="0061227C">
              <w:rPr>
                <w:lang w:val="ro-RO"/>
              </w:rPr>
              <w:t xml:space="preserve">Cunoaștere limbii  române </w:t>
            </w:r>
          </w:p>
          <w:p w14:paraId="08F647DF" w14:textId="627B0440" w:rsidR="001F0DAC" w:rsidRPr="0061227C" w:rsidRDefault="00784778" w:rsidP="00784778">
            <w:pPr>
              <w:rPr>
                <w:lang w:val="ro-RO"/>
              </w:rPr>
            </w:pPr>
            <w:r w:rsidRPr="0061227C">
              <w:rPr>
                <w:lang w:val="ro-RO"/>
              </w:rPr>
              <w:t>Cunoaștere limbii engleze va fi un avantaj</w:t>
            </w:r>
          </w:p>
        </w:tc>
        <w:tc>
          <w:tcPr>
            <w:tcW w:w="2544" w:type="dxa"/>
          </w:tcPr>
          <w:p w14:paraId="6B2FE60A" w14:textId="614CA02F" w:rsidR="001F0DAC" w:rsidRPr="0061227C" w:rsidRDefault="00784778" w:rsidP="001F0DAC">
            <w:pPr>
              <w:jc w:val="both"/>
              <w:rPr>
                <w:lang w:val="ro-RO"/>
              </w:rPr>
            </w:pPr>
            <w:r w:rsidRPr="0061227C">
              <w:rPr>
                <w:lang w:val="ro-RO"/>
              </w:rPr>
              <w:t>Cel puțin 10 ani de experiența generală în domeniu procesării produselor de origine animală</w:t>
            </w:r>
          </w:p>
        </w:tc>
        <w:tc>
          <w:tcPr>
            <w:tcW w:w="2537" w:type="dxa"/>
          </w:tcPr>
          <w:p w14:paraId="2798F808" w14:textId="3FADFEB4" w:rsidR="001F0DAC" w:rsidRPr="00784778" w:rsidRDefault="00784778" w:rsidP="00784778">
            <w:pPr>
              <w:rPr>
                <w:lang w:val="ro-RO"/>
              </w:rPr>
            </w:pPr>
            <w:r w:rsidRPr="0061227C">
              <w:rPr>
                <w:lang w:val="ro-RO"/>
              </w:rPr>
              <w:t>Cel puțin în contract pentru analiză tehnologică a fluxurilor de procesare</w:t>
            </w:r>
          </w:p>
        </w:tc>
      </w:tr>
    </w:tbl>
    <w:p w14:paraId="23C8CD39" w14:textId="77777777" w:rsidR="008666E4" w:rsidRPr="00784778" w:rsidRDefault="008666E4" w:rsidP="008666E4">
      <w:pPr>
        <w:jc w:val="both"/>
        <w:rPr>
          <w:lang w:val="ro-RO"/>
        </w:rPr>
      </w:pPr>
    </w:p>
    <w:sectPr w:rsidR="008666E4" w:rsidRPr="00784778" w:rsidSect="00B505FB">
      <w:pgSz w:w="12240" w:h="15840"/>
      <w:pgMar w:top="993" w:right="10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E59"/>
    <w:multiLevelType w:val="hybridMultilevel"/>
    <w:tmpl w:val="267CA830"/>
    <w:lvl w:ilvl="0" w:tplc="49B63D1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F773B4"/>
    <w:multiLevelType w:val="hybridMultilevel"/>
    <w:tmpl w:val="54B62672"/>
    <w:lvl w:ilvl="0" w:tplc="0418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67C29"/>
    <w:multiLevelType w:val="hybridMultilevel"/>
    <w:tmpl w:val="814A79BC"/>
    <w:lvl w:ilvl="0" w:tplc="5D32A0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7E7136"/>
    <w:multiLevelType w:val="multilevel"/>
    <w:tmpl w:val="E16A24A6"/>
    <w:lvl w:ilvl="0">
      <w:start w:val="1"/>
      <w:numFmt w:val="decimal"/>
      <w:lvlText w:val="%1."/>
      <w:lvlJc w:val="left"/>
      <w:pPr>
        <w:ind w:left="720" w:hanging="360"/>
      </w:pPr>
      <w:rPr>
        <w:rFonts w:hint="default"/>
      </w:rPr>
    </w:lvl>
    <w:lvl w:ilvl="1">
      <w:start w:val="3"/>
      <w:numFmt w:val="decimal"/>
      <w:lvlText w:val="%1.%2."/>
      <w:lvlJc w:val="left"/>
      <w:pPr>
        <w:ind w:left="720" w:hanging="360"/>
      </w:pPr>
      <w:rPr>
        <w:rFonts w:cs="Arial"/>
        <w:b w:val="0"/>
        <w:color w:val="auto"/>
        <w:sz w:val="20"/>
      </w:rPr>
    </w:lvl>
    <w:lvl w:ilvl="2">
      <w:start w:val="1"/>
      <w:numFmt w:val="decimal"/>
      <w:lvlText w:val="%1.%2.%3."/>
      <w:lvlJc w:val="left"/>
      <w:pPr>
        <w:ind w:left="1080" w:hanging="720"/>
      </w:pPr>
      <w:rPr>
        <w:rFonts w:cs="Arial"/>
        <w:b w:val="0"/>
        <w:color w:val="auto"/>
        <w:sz w:val="20"/>
      </w:rPr>
    </w:lvl>
    <w:lvl w:ilvl="3">
      <w:start w:val="1"/>
      <w:numFmt w:val="decimal"/>
      <w:lvlText w:val="%1.%2.%3.%4."/>
      <w:lvlJc w:val="left"/>
      <w:pPr>
        <w:ind w:left="1080" w:hanging="720"/>
      </w:pPr>
      <w:rPr>
        <w:rFonts w:cs="Arial"/>
        <w:b w:val="0"/>
        <w:color w:val="auto"/>
        <w:sz w:val="20"/>
      </w:rPr>
    </w:lvl>
    <w:lvl w:ilvl="4">
      <w:start w:val="1"/>
      <w:numFmt w:val="decimal"/>
      <w:lvlText w:val="%1.%2.%3.%4.%5."/>
      <w:lvlJc w:val="left"/>
      <w:pPr>
        <w:ind w:left="1440" w:hanging="1080"/>
      </w:pPr>
      <w:rPr>
        <w:rFonts w:cs="Arial"/>
        <w:b w:val="0"/>
        <w:color w:val="auto"/>
        <w:sz w:val="20"/>
      </w:rPr>
    </w:lvl>
    <w:lvl w:ilvl="5">
      <w:start w:val="1"/>
      <w:numFmt w:val="decimal"/>
      <w:lvlText w:val="%1.%2.%3.%4.%5.%6."/>
      <w:lvlJc w:val="left"/>
      <w:pPr>
        <w:ind w:left="1440" w:hanging="1080"/>
      </w:pPr>
      <w:rPr>
        <w:rFonts w:cs="Arial"/>
        <w:b w:val="0"/>
        <w:color w:val="auto"/>
        <w:sz w:val="20"/>
      </w:rPr>
    </w:lvl>
    <w:lvl w:ilvl="6">
      <w:start w:val="1"/>
      <w:numFmt w:val="decimal"/>
      <w:lvlText w:val="%1.%2.%3.%4.%5.%6.%7."/>
      <w:lvlJc w:val="left"/>
      <w:pPr>
        <w:ind w:left="1800" w:hanging="1440"/>
      </w:pPr>
      <w:rPr>
        <w:rFonts w:cs="Arial"/>
        <w:b w:val="0"/>
        <w:color w:val="auto"/>
        <w:sz w:val="20"/>
      </w:rPr>
    </w:lvl>
    <w:lvl w:ilvl="7">
      <w:start w:val="1"/>
      <w:numFmt w:val="decimal"/>
      <w:lvlText w:val="%1.%2.%3.%4.%5.%6.%7.%8."/>
      <w:lvlJc w:val="left"/>
      <w:pPr>
        <w:ind w:left="1800" w:hanging="1440"/>
      </w:pPr>
      <w:rPr>
        <w:rFonts w:cs="Arial"/>
        <w:b w:val="0"/>
        <w:color w:val="auto"/>
        <w:sz w:val="20"/>
      </w:rPr>
    </w:lvl>
    <w:lvl w:ilvl="8">
      <w:start w:val="1"/>
      <w:numFmt w:val="decimal"/>
      <w:lvlText w:val="%1.%2.%3.%4.%5.%6.%7.%8.%9."/>
      <w:lvlJc w:val="left"/>
      <w:pPr>
        <w:ind w:left="2160" w:hanging="1800"/>
      </w:pPr>
      <w:rPr>
        <w:rFonts w:cs="Arial"/>
        <w:b w:val="0"/>
        <w:color w:val="auto"/>
        <w:sz w:val="20"/>
      </w:rPr>
    </w:lvl>
  </w:abstractNum>
  <w:abstractNum w:abstractNumId="4" w15:restartNumberingAfterBreak="0">
    <w:nsid w:val="1B901735"/>
    <w:multiLevelType w:val="hybridMultilevel"/>
    <w:tmpl w:val="E06AFF66"/>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D0C00A7"/>
    <w:multiLevelType w:val="hybridMultilevel"/>
    <w:tmpl w:val="F9B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909DA"/>
    <w:multiLevelType w:val="hybridMultilevel"/>
    <w:tmpl w:val="94C4B59E"/>
    <w:lvl w:ilvl="0" w:tplc="86284B5C">
      <w:start w:val="1"/>
      <w:numFmt w:val="lowerRoman"/>
      <w:lvlText w:val="%1)"/>
      <w:lvlJc w:val="left"/>
      <w:pPr>
        <w:ind w:left="1434" w:hanging="720"/>
      </w:pPr>
      <w:rPr>
        <w:rFonts w:hint="default"/>
      </w:rPr>
    </w:lvl>
    <w:lvl w:ilvl="1" w:tplc="04090019">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7" w15:restartNumberingAfterBreak="0">
    <w:nsid w:val="34ED2D19"/>
    <w:multiLevelType w:val="hybridMultilevel"/>
    <w:tmpl w:val="23942C28"/>
    <w:lvl w:ilvl="0" w:tplc="49B63D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F44E02"/>
    <w:multiLevelType w:val="hybridMultilevel"/>
    <w:tmpl w:val="EE0CCBCE"/>
    <w:lvl w:ilvl="0" w:tplc="990AC4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682147"/>
    <w:multiLevelType w:val="hybridMultilevel"/>
    <w:tmpl w:val="BCF23656"/>
    <w:lvl w:ilvl="0" w:tplc="1786BF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FE032DA"/>
    <w:multiLevelType w:val="hybridMultilevel"/>
    <w:tmpl w:val="1BEA2368"/>
    <w:lvl w:ilvl="0" w:tplc="49B63D1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67A6EBA"/>
    <w:multiLevelType w:val="hybridMultilevel"/>
    <w:tmpl w:val="AE5C6CC2"/>
    <w:lvl w:ilvl="0" w:tplc="4B7EA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FE8796"/>
    <w:multiLevelType w:val="multilevel"/>
    <w:tmpl w:val="B91281C6"/>
    <w:lvl w:ilvl="0">
      <w:start w:val="1"/>
      <w:numFmt w:val="upperRoman"/>
      <w:lvlText w:val="%1."/>
      <w:lvlJc w:val="right"/>
      <w:pPr>
        <w:ind w:left="720" w:hanging="360"/>
      </w:pPr>
    </w:lvl>
    <w:lvl w:ilvl="1">
      <w:start w:val="3"/>
      <w:numFmt w:val="decimal"/>
      <w:lvlText w:val="%1.%2."/>
      <w:lvlJc w:val="left"/>
      <w:pPr>
        <w:ind w:left="720" w:hanging="360"/>
      </w:pPr>
      <w:rPr>
        <w:rFonts w:cs="Arial"/>
        <w:b w:val="0"/>
        <w:color w:val="auto"/>
        <w:sz w:val="20"/>
      </w:rPr>
    </w:lvl>
    <w:lvl w:ilvl="2">
      <w:start w:val="1"/>
      <w:numFmt w:val="decimal"/>
      <w:lvlText w:val="%1.%2.%3."/>
      <w:lvlJc w:val="left"/>
      <w:pPr>
        <w:ind w:left="1080" w:hanging="720"/>
      </w:pPr>
      <w:rPr>
        <w:rFonts w:cs="Arial"/>
        <w:b w:val="0"/>
        <w:color w:val="auto"/>
        <w:sz w:val="20"/>
      </w:rPr>
    </w:lvl>
    <w:lvl w:ilvl="3">
      <w:start w:val="1"/>
      <w:numFmt w:val="decimal"/>
      <w:lvlText w:val="%1.%2.%3.%4."/>
      <w:lvlJc w:val="left"/>
      <w:pPr>
        <w:ind w:left="1080" w:hanging="720"/>
      </w:pPr>
      <w:rPr>
        <w:rFonts w:cs="Arial"/>
        <w:b w:val="0"/>
        <w:color w:val="auto"/>
        <w:sz w:val="20"/>
      </w:rPr>
    </w:lvl>
    <w:lvl w:ilvl="4">
      <w:start w:val="1"/>
      <w:numFmt w:val="decimal"/>
      <w:lvlText w:val="%1.%2.%3.%4.%5."/>
      <w:lvlJc w:val="left"/>
      <w:pPr>
        <w:ind w:left="1440" w:hanging="1080"/>
      </w:pPr>
      <w:rPr>
        <w:rFonts w:cs="Arial"/>
        <w:b w:val="0"/>
        <w:color w:val="auto"/>
        <w:sz w:val="20"/>
      </w:rPr>
    </w:lvl>
    <w:lvl w:ilvl="5">
      <w:start w:val="1"/>
      <w:numFmt w:val="decimal"/>
      <w:lvlText w:val="%1.%2.%3.%4.%5.%6."/>
      <w:lvlJc w:val="left"/>
      <w:pPr>
        <w:ind w:left="1440" w:hanging="1080"/>
      </w:pPr>
      <w:rPr>
        <w:rFonts w:cs="Arial"/>
        <w:b w:val="0"/>
        <w:color w:val="auto"/>
        <w:sz w:val="20"/>
      </w:rPr>
    </w:lvl>
    <w:lvl w:ilvl="6">
      <w:start w:val="1"/>
      <w:numFmt w:val="decimal"/>
      <w:lvlText w:val="%1.%2.%3.%4.%5.%6.%7."/>
      <w:lvlJc w:val="left"/>
      <w:pPr>
        <w:ind w:left="1800" w:hanging="1440"/>
      </w:pPr>
      <w:rPr>
        <w:rFonts w:cs="Arial"/>
        <w:b w:val="0"/>
        <w:color w:val="auto"/>
        <w:sz w:val="20"/>
      </w:rPr>
    </w:lvl>
    <w:lvl w:ilvl="7">
      <w:start w:val="1"/>
      <w:numFmt w:val="decimal"/>
      <w:lvlText w:val="%1.%2.%3.%4.%5.%6.%7.%8."/>
      <w:lvlJc w:val="left"/>
      <w:pPr>
        <w:ind w:left="1800" w:hanging="1440"/>
      </w:pPr>
      <w:rPr>
        <w:rFonts w:cs="Arial"/>
        <w:b w:val="0"/>
        <w:color w:val="auto"/>
        <w:sz w:val="20"/>
      </w:rPr>
    </w:lvl>
    <w:lvl w:ilvl="8">
      <w:start w:val="1"/>
      <w:numFmt w:val="decimal"/>
      <w:lvlText w:val="%1.%2.%3.%4.%5.%6.%7.%8.%9."/>
      <w:lvlJc w:val="left"/>
      <w:pPr>
        <w:ind w:left="2160" w:hanging="1800"/>
      </w:pPr>
      <w:rPr>
        <w:rFonts w:cs="Arial"/>
        <w:b w:val="0"/>
        <w:color w:val="auto"/>
        <w:sz w:val="20"/>
      </w:rPr>
    </w:lvl>
  </w:abstractNum>
  <w:num w:numId="1" w16cid:durableId="1158309443">
    <w:abstractNumId w:val="12"/>
  </w:num>
  <w:num w:numId="2" w16cid:durableId="640959505">
    <w:abstractNumId w:val="7"/>
  </w:num>
  <w:num w:numId="3" w16cid:durableId="900797198">
    <w:abstractNumId w:val="11"/>
  </w:num>
  <w:num w:numId="4" w16cid:durableId="1815871597">
    <w:abstractNumId w:val="6"/>
  </w:num>
  <w:num w:numId="5" w16cid:durableId="669873728">
    <w:abstractNumId w:val="0"/>
  </w:num>
  <w:num w:numId="6" w16cid:durableId="1107850957">
    <w:abstractNumId w:val="10"/>
  </w:num>
  <w:num w:numId="7" w16cid:durableId="133766860">
    <w:abstractNumId w:val="8"/>
  </w:num>
  <w:num w:numId="8" w16cid:durableId="497959889">
    <w:abstractNumId w:val="9"/>
  </w:num>
  <w:num w:numId="9" w16cid:durableId="1104955252">
    <w:abstractNumId w:val="3"/>
  </w:num>
  <w:num w:numId="10" w16cid:durableId="437675639">
    <w:abstractNumId w:val="5"/>
  </w:num>
  <w:num w:numId="11" w16cid:durableId="1211578263">
    <w:abstractNumId w:val="2"/>
  </w:num>
  <w:num w:numId="12" w16cid:durableId="94324768">
    <w:abstractNumId w:val="4"/>
  </w:num>
  <w:num w:numId="13" w16cid:durableId="199705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4A"/>
    <w:rsid w:val="00040B13"/>
    <w:rsid w:val="000F432B"/>
    <w:rsid w:val="001F0DAC"/>
    <w:rsid w:val="00283201"/>
    <w:rsid w:val="002A2686"/>
    <w:rsid w:val="002A3622"/>
    <w:rsid w:val="003369AD"/>
    <w:rsid w:val="00362013"/>
    <w:rsid w:val="003A56AD"/>
    <w:rsid w:val="003A6788"/>
    <w:rsid w:val="0041333F"/>
    <w:rsid w:val="00452DD7"/>
    <w:rsid w:val="00566C81"/>
    <w:rsid w:val="00575805"/>
    <w:rsid w:val="005A0DC5"/>
    <w:rsid w:val="005D34A6"/>
    <w:rsid w:val="005E223B"/>
    <w:rsid w:val="0061227C"/>
    <w:rsid w:val="006810DF"/>
    <w:rsid w:val="006B5F8E"/>
    <w:rsid w:val="006F5870"/>
    <w:rsid w:val="00761C3D"/>
    <w:rsid w:val="00784778"/>
    <w:rsid w:val="00846BB9"/>
    <w:rsid w:val="0085007A"/>
    <w:rsid w:val="00857435"/>
    <w:rsid w:val="008666E4"/>
    <w:rsid w:val="008977E4"/>
    <w:rsid w:val="008D1D57"/>
    <w:rsid w:val="008F5CCC"/>
    <w:rsid w:val="008F6D4A"/>
    <w:rsid w:val="00955067"/>
    <w:rsid w:val="00974543"/>
    <w:rsid w:val="009829C2"/>
    <w:rsid w:val="00987CC9"/>
    <w:rsid w:val="00A06321"/>
    <w:rsid w:val="00A07F5E"/>
    <w:rsid w:val="00A51D15"/>
    <w:rsid w:val="00A5612F"/>
    <w:rsid w:val="00AB7D63"/>
    <w:rsid w:val="00AF5DCE"/>
    <w:rsid w:val="00B31D2C"/>
    <w:rsid w:val="00B505FB"/>
    <w:rsid w:val="00B60C35"/>
    <w:rsid w:val="00BC07B4"/>
    <w:rsid w:val="00BE6BE0"/>
    <w:rsid w:val="00C05BFF"/>
    <w:rsid w:val="00C374C9"/>
    <w:rsid w:val="00C867D7"/>
    <w:rsid w:val="00D156DE"/>
    <w:rsid w:val="00D52566"/>
    <w:rsid w:val="00E37D3E"/>
    <w:rsid w:val="00E43898"/>
    <w:rsid w:val="00E90EE2"/>
    <w:rsid w:val="00F35666"/>
    <w:rsid w:val="00F46C0C"/>
    <w:rsid w:val="00F80B1D"/>
    <w:rsid w:val="00F91E42"/>
    <w:rsid w:val="00F97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69EB"/>
  <w15:chartTrackingRefBased/>
  <w15:docId w15:val="{00EB9CA6-D7F0-45B1-B87B-6DCE7EB1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7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F6D4A"/>
    <w:pPr>
      <w:keepNext/>
      <w:keepLines/>
      <w:spacing w:before="240" w:after="240"/>
      <w:jc w:val="center"/>
      <w:outlineLvl w:val="0"/>
    </w:pPr>
    <w:rPr>
      <w:rFonts w:ascii="Times New Roman Bold" w:hAnsi="Times New Roman Bold"/>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8F6D4A"/>
    <w:rPr>
      <w:rFonts w:ascii="Times New Roman Bold" w:eastAsia="Times New Roman" w:hAnsi="Times New Roman Bold" w:cs="Times New Roman"/>
      <w:b/>
      <w:sz w:val="32"/>
      <w:szCs w:val="20"/>
    </w:rPr>
  </w:style>
  <w:style w:type="paragraph" w:styleId="BodyText">
    <w:name w:val="Body Text"/>
    <w:basedOn w:val="Normal"/>
    <w:link w:val="BodyTextChar"/>
    <w:uiPriority w:val="99"/>
    <w:qFormat/>
    <w:rsid w:val="008F6D4A"/>
    <w:pPr>
      <w:suppressAutoHyphens/>
      <w:spacing w:after="120"/>
      <w:jc w:val="both"/>
    </w:pPr>
    <w:rPr>
      <w:szCs w:val="20"/>
    </w:rPr>
  </w:style>
  <w:style w:type="character" w:customStyle="1" w:styleId="BodyTextChar">
    <w:name w:val="Body Text Char"/>
    <w:basedOn w:val="DefaultParagraphFont"/>
    <w:link w:val="BodyText"/>
    <w:uiPriority w:val="99"/>
    <w:qFormat/>
    <w:rsid w:val="008F6D4A"/>
    <w:rPr>
      <w:rFonts w:ascii="Times New Roman" w:eastAsia="Times New Roman" w:hAnsi="Times New Roman" w:cs="Times New Roman"/>
      <w:sz w:val="24"/>
      <w:szCs w:val="20"/>
    </w:rPr>
  </w:style>
  <w:style w:type="paragraph" w:styleId="ListParagraph">
    <w:name w:val="List Paragraph"/>
    <w:basedOn w:val="Normal"/>
    <w:uiPriority w:val="34"/>
    <w:qFormat/>
    <w:rsid w:val="0085007A"/>
    <w:pPr>
      <w:ind w:left="720"/>
      <w:contextualSpacing/>
    </w:pPr>
  </w:style>
  <w:style w:type="table" w:styleId="TableGrid">
    <w:name w:val="Table Grid"/>
    <w:basedOn w:val="TableNormal"/>
    <w:uiPriority w:val="39"/>
    <w:rsid w:val="003A5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432B"/>
    <w:rPr>
      <w:sz w:val="16"/>
      <w:szCs w:val="16"/>
    </w:rPr>
  </w:style>
  <w:style w:type="paragraph" w:styleId="CommentText">
    <w:name w:val="annotation text"/>
    <w:basedOn w:val="Normal"/>
    <w:link w:val="CommentTextChar"/>
    <w:uiPriority w:val="99"/>
    <w:unhideWhenUsed/>
    <w:rsid w:val="000F432B"/>
    <w:rPr>
      <w:sz w:val="20"/>
      <w:szCs w:val="20"/>
    </w:rPr>
  </w:style>
  <w:style w:type="character" w:customStyle="1" w:styleId="CommentTextChar">
    <w:name w:val="Comment Text Char"/>
    <w:basedOn w:val="DefaultParagraphFont"/>
    <w:link w:val="CommentText"/>
    <w:uiPriority w:val="99"/>
    <w:rsid w:val="000F43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432B"/>
    <w:rPr>
      <w:b/>
      <w:bCs/>
    </w:rPr>
  </w:style>
  <w:style w:type="character" w:customStyle="1" w:styleId="CommentSubjectChar">
    <w:name w:val="Comment Subject Char"/>
    <w:basedOn w:val="CommentTextChar"/>
    <w:link w:val="CommentSubject"/>
    <w:uiPriority w:val="99"/>
    <w:semiHidden/>
    <w:rsid w:val="000F432B"/>
    <w:rPr>
      <w:rFonts w:ascii="Times New Roman" w:eastAsia="Times New Roman" w:hAnsi="Times New Roman" w:cs="Times New Roman"/>
      <w:b/>
      <w:bCs/>
      <w:sz w:val="20"/>
      <w:szCs w:val="20"/>
    </w:rPr>
  </w:style>
  <w:style w:type="paragraph" w:styleId="Revision">
    <w:name w:val="Revision"/>
    <w:hidden/>
    <w:uiPriority w:val="99"/>
    <w:semiHidden/>
    <w:rsid w:val="009829C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53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4B010-5534-4EEC-B9E4-0C84788ED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1850</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Shokin Shokin</dc:creator>
  <cp:keywords/>
  <dc:description/>
  <cp:lastModifiedBy>Cornel Bordeianu</cp:lastModifiedBy>
  <cp:revision>10</cp:revision>
  <dcterms:created xsi:type="dcterms:W3CDTF">2025-02-06T15:55:00Z</dcterms:created>
  <dcterms:modified xsi:type="dcterms:W3CDTF">2025-04-11T07:54:00Z</dcterms:modified>
</cp:coreProperties>
</file>