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ANEXA 1</w:t>
      </w:r>
    </w:p>
    <w:p w:rsidR="00000000" w:rsidDel="00000000" w:rsidP="00000000" w:rsidRDefault="00000000" w:rsidRPr="00000000" w14:paraId="00000002">
      <w:pPr>
        <w:spacing w:after="240"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CRITERII DE EVALUARE A OFERTELOR</w:t>
      </w:r>
      <w:r w:rsidDel="00000000" w:rsidR="00000000" w:rsidRPr="00000000">
        <w:rPr>
          <w:rtl w:val="0"/>
        </w:rPr>
      </w:r>
    </w:p>
    <w:p w:rsidR="00000000" w:rsidDel="00000000" w:rsidP="00000000" w:rsidRDefault="00000000" w:rsidRPr="00000000" w14:paraId="00000003">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Metoda de evaluare aplicabilă pentru această licitație publică se bazează pe metoda de punctaj combinat, care reprezintă o combinație între scorul tehnic și scorul financiar. Formula de evaluare a ofertelor este următoarea:</w:t>
      </w:r>
    </w:p>
    <w:p w:rsidR="00000000" w:rsidDel="00000000" w:rsidP="00000000" w:rsidRDefault="00000000" w:rsidRPr="00000000" w14:paraId="00000004">
      <w:pPr>
        <w:spacing w:after="240" w:before="240"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rFonts w:ascii="Times New Roman" w:cs="Times New Roman" w:eastAsia="Times New Roman" w:hAnsi="Times New Roman"/>
          <w:b w:val="1"/>
          <w:bCs w:val="1"/>
          <w:rtl w:val="0"/>
        </w:rPr>
        <w:t xml:space="preserve">Evaluarea ofertei tehnice (OT):</w:t>
      </w:r>
    </w:p>
    <w:p w:rsidR="00000000" w:rsidDel="00000000" w:rsidP="00000000" w:rsidRDefault="00000000" w:rsidRPr="00000000" w14:paraId="00000005">
      <w:pPr>
        <w:spacing w:after="240" w:before="240" w:line="276" w:lineRule="auto"/>
        <w:ind w:lef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OT = (Punctajul total obținut de ofertă / Punctajul maxim posibil pentru OT) × 100</w:t>
      </w:r>
    </w:p>
    <w:p w:rsidR="00000000" w:rsidDel="00000000" w:rsidP="00000000" w:rsidRDefault="00000000" w:rsidRPr="00000000" w14:paraId="00000006">
      <w:pPr>
        <w:spacing w:after="240" w:before="240"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rFonts w:ascii="Times New Roman" w:cs="Times New Roman" w:eastAsia="Times New Roman" w:hAnsi="Times New Roman"/>
          <w:b w:val="1"/>
          <w:bCs w:val="1"/>
          <w:rtl w:val="0"/>
        </w:rPr>
        <w:t xml:space="preserve">Evaluarea ofertei financiare (OF):</w:t>
      </w:r>
    </w:p>
    <w:p w:rsidR="00000000" w:rsidDel="00000000" w:rsidP="00000000" w:rsidRDefault="00000000" w:rsidRPr="00000000" w14:paraId="00000007">
      <w:pPr>
        <w:spacing w:after="240" w:before="240" w:line="276" w:lineRule="auto"/>
        <w:ind w:lef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OF = (Oferta cu cel mai mic preț / Prețul ofertei evaluate) × 100</w:t>
      </w:r>
    </w:p>
    <w:p w:rsidR="00000000" w:rsidDel="00000000" w:rsidP="00000000" w:rsidRDefault="00000000" w:rsidRPr="00000000" w14:paraId="00000008">
      <w:pPr>
        <w:spacing w:after="240" w:before="240"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rFonts w:ascii="Times New Roman" w:cs="Times New Roman" w:eastAsia="Times New Roman" w:hAnsi="Times New Roman"/>
          <w:b w:val="1"/>
          <w:bCs w:val="1"/>
          <w:rtl w:val="0"/>
        </w:rPr>
        <w:t xml:space="preserve">Scorul total combinat:</w:t>
      </w:r>
    </w:p>
    <w:p w:rsidR="00000000" w:rsidDel="00000000" w:rsidP="00000000" w:rsidRDefault="00000000" w:rsidRPr="00000000" w14:paraId="00000009">
      <w:pPr>
        <w:spacing w:after="240" w:before="240" w:line="276" w:lineRule="auto"/>
        <w:ind w:firstLine="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Scor combinat = (OT × ponderea OT  (70%)) + (OF × ponderea OF ( 30%))</w:t>
      </w:r>
      <w:r w:rsidDel="00000000" w:rsidR="00000000" w:rsidRPr="00000000">
        <w:rPr>
          <w:rtl w:val="0"/>
        </w:rPr>
      </w:r>
    </w:p>
    <w:p w:rsidR="00000000" w:rsidDel="00000000" w:rsidP="00000000" w:rsidRDefault="00000000" w:rsidRPr="00000000" w14:paraId="0000000A">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Tabelul 1</w:t>
      </w:r>
      <w:r w:rsidDel="00000000" w:rsidR="00000000" w:rsidRPr="00000000">
        <w:rPr>
          <w:rFonts w:ascii="Times New Roman" w:cs="Times New Roman" w:eastAsia="Times New Roman" w:hAnsi="Times New Roman"/>
          <w:rtl w:val="0"/>
        </w:rPr>
        <w:t xml:space="preserve"> – Criterii de evaluare tehnică</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6975"/>
        <w:gridCol w:w="1110"/>
        <w:tblGridChange w:id="0">
          <w:tblGrid>
            <w:gridCol w:w="810"/>
            <w:gridCol w:w="6975"/>
            <w:gridCol w:w="1110"/>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B">
            <w:pPr>
              <w:spacing w:after="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C">
            <w:pPr>
              <w:spacing w:after="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Criterii de evaluare tehnică</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D">
            <w:pPr>
              <w:spacing w:after="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Max. puncte</w:t>
            </w:r>
          </w:p>
        </w:tc>
      </w:tr>
      <w:tr>
        <w:trPr>
          <w:cantSplit w:val="0"/>
          <w:trHeight w:val="25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E">
            <w:pPr>
              <w:spacing w:after="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F">
            <w:pPr>
              <w:spacing w:after="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Reputația ofertanților – reputația organizației și credibilitatea/ fiabilitatea/ </w:t>
            </w:r>
            <w:r w:rsidDel="00000000" w:rsidR="00000000" w:rsidRPr="00000000">
              <w:rPr>
                <w:rFonts w:ascii="Times New Roman" w:cs="Times New Roman" w:eastAsia="Times New Roman" w:hAnsi="Times New Roman"/>
                <w:rtl w:val="0"/>
              </w:rPr>
              <w:t xml:space="preserve">poziția în domeniu*</w:t>
            </w:r>
          </w:p>
          <w:p w:rsidR="00000000" w:rsidDel="00000000" w:rsidP="00000000" w:rsidRDefault="00000000" w:rsidRPr="00000000" w14:paraId="00000010">
            <w:pPr>
              <w:numPr>
                <w:ilvl w:val="0"/>
                <w:numId w:val="1"/>
              </w:numPr>
              <w:spacing w:after="0" w:before="6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Compania sunt este un actor recunoscut pe piață și are o bună reputație – max. 30 puncte</w:t>
            </w:r>
            <w:r w:rsidDel="00000000" w:rsidR="00000000" w:rsidRPr="00000000">
              <w:rPr>
                <w:rtl w:val="0"/>
              </w:rPr>
            </w:r>
          </w:p>
          <w:p w:rsidR="00000000" w:rsidDel="00000000" w:rsidP="00000000" w:rsidRDefault="00000000" w:rsidRPr="00000000" w14:paraId="00000011">
            <w:pPr>
              <w:numPr>
                <w:ilvl w:val="0"/>
                <w:numId w:val="1"/>
              </w:numPr>
              <w:spacing w:after="0" w:before="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Compania este cunoscută pe piață, însă există recenzii confirmate din partea clienților și donatorilor care atestă o performanță slabă în implementarea proiectelor (întârzieri în livrarea serviciilor, implementarea proiectelor cu abateri majore de la documentația de proiect etc.) – max. 10 puncte</w:t>
            </w:r>
            <w:r w:rsidDel="00000000" w:rsidR="00000000" w:rsidRPr="00000000">
              <w:rPr>
                <w:rtl w:val="0"/>
              </w:rPr>
            </w:r>
          </w:p>
          <w:p w:rsidR="00000000" w:rsidDel="00000000" w:rsidP="00000000" w:rsidRDefault="00000000" w:rsidRPr="00000000" w14:paraId="00000012">
            <w:pPr>
              <w:numPr>
                <w:ilvl w:val="0"/>
                <w:numId w:val="1"/>
              </w:numPr>
              <w:spacing w:after="0" w:before="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Compania nu este cunoscută pe piață și/sau nu au o reputație bună – 0 puncte</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3">
            <w:pPr>
              <w:spacing w:after="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30</w:t>
            </w:r>
          </w:p>
        </w:tc>
      </w:tr>
      <w:tr>
        <w:trPr>
          <w:cantSplit w:val="0"/>
          <w:trHeight w:val="16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4">
            <w:pPr>
              <w:spacing w:after="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5">
            <w:pPr>
              <w:spacing w:after="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Compania a prezentat cel puțin 3 contracte/ procese verbale de finalizare a unor lucrări similare.</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contracte - 15 puncte, 5 puncte pentru fiecare proces verbal suplimentar prezentat, până la maxim 30 de puncte; mai puțin de 3 procese verbale – 0 puncte.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7">
            <w:pPr>
              <w:spacing w:after="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30</w:t>
            </w:r>
          </w:p>
        </w:tc>
      </w:tr>
      <w:tr>
        <w:trPr>
          <w:cantSplit w:val="0"/>
          <w:trHeight w:val="58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8">
            <w:pPr>
              <w:spacing w:after="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spacing w:after="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spacing w:after="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spacing w:after="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spacing w:after="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spacing w:after="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pacing w:after="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F">
            <w:pPr>
              <w:spacing w:after="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Corespunderea ofertei cerințelor tehnice solicitate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 fost abordate în detaliu aspectele importante ale sarcinii? Sunt componentele proiectului, precum - abordarea tehnică privind implementarea sarcinii, abordarea managerială, includerea în anexele la Specificațiile tehnice tuturor utilajele, echipamentele, mijloacele de transport, bazele de producție necesare, - prezentate și echilibrate corespunzător între ele?  A fost prezentată lista de personal și experiența acestuia, necesar pentru îndeplinirea lucrărilor de acest gen? </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Propunerea demonstrează o înțelegere solidă a sarcinii. Majoritatea aspectelor importante sunt acoperite în detaliu, iar componentele sunt bine echilibrate, cu mici aspecte de îmbunătățit – până la 40 puncte</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Propunerea indică o înțelegere parțială a sarcinii. Unele aspecte importante sunt abordate, însă lipsesc multe detalii. Componentele sunt oarecum echilibrate, dar necesită ajustări semnificative – până la 25 puncte </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Propunerea demonstrează o înțelegere minimă a sarcinii. Foarte puține aspecte importante sunt abordate, lipsesc majoritatea detaliilor, iar componentele sunt dezechilibrate și necesită revizuiri substanțiale – 0 puncte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4">
            <w:pPr>
              <w:spacing w:after="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40</w:t>
            </w:r>
          </w:p>
        </w:tc>
      </w:tr>
      <w:tr>
        <w:trPr>
          <w:cantSplit w:val="0"/>
          <w:trHeight w:val="285"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5">
            <w:pPr>
              <w:spacing w:after="0" w:before="6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max. puncte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spacing w:after="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100</w:t>
            </w:r>
          </w:p>
        </w:tc>
      </w:tr>
    </w:tbl>
    <w:p w:rsidR="00000000" w:rsidDel="00000000" w:rsidP="00000000" w:rsidRDefault="00000000" w:rsidRPr="00000000" w14:paraId="00000028">
      <w:pPr>
        <w:spacing w:after="240" w:before="240" w:line="276" w:lineRule="auto"/>
        <w:jc w:val="both"/>
        <w:rPr>
          <w:rFonts w:ascii="Arial" w:cs="Arial" w:eastAsia="Arial" w:hAnsi="Arial"/>
        </w:rPr>
      </w:pPr>
      <w:r w:rsidDel="00000000" w:rsidR="00000000" w:rsidRPr="00000000">
        <w:rPr>
          <w:rFonts w:ascii="Times New Roman" w:cs="Times New Roman" w:eastAsia="Times New Roman" w:hAnsi="Times New Roman"/>
          <w:rtl w:val="0"/>
        </w:rPr>
        <w:t xml:space="preserve">Compania care obține un punctaj mai mare decât 0 la fiecare dintre criteriile 1 - 3 și acumulează cel mai mare scor combinat va fi desemnată câștigătoarea licitației.</w:t>
      </w: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IMPORTANT</w:t>
      </w:r>
      <w:r w:rsidDel="00000000" w:rsidR="00000000" w:rsidRPr="00000000">
        <w:rPr>
          <w:rFonts w:ascii="Times New Roman" w:cs="Times New Roman" w:eastAsia="Times New Roman" w:hAnsi="Times New Roman"/>
          <w:rtl w:val="0"/>
        </w:rPr>
        <w:t xml:space="preserve">! În cadrul Criteriului 1. ”Reputația ofertanților” va fi evaluată inclusiv performanța trecută a companiei în relația cu alți clienți, în special în cadrul proiectelor de asistență financiară externă, urmând a fi analizate următoarele aspecte: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compania să nu fie, în momentul depunerii ofertei, sau în perioade anterioare  depunerii prezentei oferte, implicată în procese de livrare de bunuri și servicii în care să se ateste performanța slabă a serviciilor prestate sau calitatea necorespunzătoare a bunurilor, nerespectarea contractelor sau a termenelor de livrare/execuție;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să nu existe recenzii sau informații din partea PNUD Moldova care să sugereze o  performanță slabă în implementarea proiectelor anterioare, sau practicarea unor prețuri semnificativ mai mici în comparație cu ofertele de pe piață în momentul depuneri ofertelor, urmate ulterior de solicitări de majorare a acestora pe parcursul perioadei de derulare a contractului de livrare a bunurilor și/sau serviciilor.</w:t>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476522</wp:posOffset>
          </wp:positionH>
          <wp:positionV relativeFrom="paragraph">
            <wp:posOffset>-568595</wp:posOffset>
          </wp:positionV>
          <wp:extent cx="5156835" cy="1124585"/>
          <wp:effectExtent b="0" l="0" r="0" t="0"/>
          <wp:wrapSquare wrapText="bothSides" distB="0" distT="0" distL="114300" distR="114300"/>
          <wp:docPr descr="A red and blue flag with black text&#10;&#10;AI-generated content may be incorrect." id="1331279624" name="image1.png"/>
          <a:graphic>
            <a:graphicData uri="http://schemas.openxmlformats.org/drawingml/2006/picture">
              <pic:pic>
                <pic:nvPicPr>
                  <pic:cNvPr descr="A red and blue flag with black text&#10;&#10;AI-generated content may be incorrect." id="0" name="image1.png"/>
                  <pic:cNvPicPr preferRelativeResize="0"/>
                </pic:nvPicPr>
                <pic:blipFill>
                  <a:blip r:embed="rId1"/>
                  <a:srcRect b="0" l="0" r="0" t="0"/>
                  <a:stretch>
                    <a:fillRect/>
                  </a:stretch>
                </pic:blipFill>
                <pic:spPr>
                  <a:xfrm>
                    <a:off x="0" y="0"/>
                    <a:ext cx="5156835" cy="11245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719E8"/>
    <w:pPr>
      <w:spacing w:after="100" w:afterAutospacing="1" w:before="100" w:beforeAutospacing="1"/>
    </w:pPr>
    <w:rPr>
      <w:rFonts w:ascii="Times New Roman" w:cs="Times New Roman" w:eastAsia="Times New Roman" w:hAnsi="Times New Roman"/>
      <w:lang w:eastAsia="en-GB"/>
    </w:rPr>
  </w:style>
  <w:style w:type="character" w:styleId="Strong">
    <w:name w:val="Strong"/>
    <w:basedOn w:val="DefaultParagraphFont"/>
    <w:uiPriority w:val="22"/>
    <w:qFormat w:val="1"/>
    <w:rsid w:val="00B719E8"/>
    <w:rPr>
      <w:b w:val="1"/>
      <w:bCs w:val="1"/>
    </w:rPr>
  </w:style>
  <w:style w:type="character" w:styleId="Hyperlink">
    <w:name w:val="Hyperlink"/>
    <w:basedOn w:val="DefaultParagraphFont"/>
    <w:uiPriority w:val="99"/>
    <w:unhideWhenUsed w:val="1"/>
    <w:rsid w:val="00B719E8"/>
    <w:rPr>
      <w:color w:val="0000ff"/>
      <w:u w:val="single"/>
    </w:rPr>
  </w:style>
  <w:style w:type="character" w:styleId="Emphasis">
    <w:name w:val="Emphasis"/>
    <w:basedOn w:val="DefaultParagraphFont"/>
    <w:uiPriority w:val="20"/>
    <w:qFormat w:val="1"/>
    <w:rsid w:val="00B719E8"/>
    <w:rPr>
      <w:i w:val="1"/>
      <w:iCs w:val="1"/>
    </w:rPr>
  </w:style>
  <w:style w:type="paragraph" w:styleId="ListParagraph">
    <w:name w:val="List Paragraph"/>
    <w:basedOn w:val="Normal"/>
    <w:uiPriority w:val="34"/>
    <w:qFormat w:val="1"/>
    <w:rsid w:val="002C6E35"/>
    <w:pPr>
      <w:ind w:left="720"/>
      <w:contextualSpacing w:val="1"/>
    </w:pPr>
  </w:style>
  <w:style w:type="character" w:styleId="UnresolvedMention">
    <w:name w:val="Unresolved Mention"/>
    <w:basedOn w:val="DefaultParagraphFont"/>
    <w:uiPriority w:val="99"/>
    <w:semiHidden w:val="1"/>
    <w:unhideWhenUsed w:val="1"/>
    <w:rsid w:val="00A76489"/>
    <w:rPr>
      <w:color w:val="605e5c"/>
      <w:shd w:color="auto" w:fill="e1dfdd" w:val="clear"/>
    </w:rPr>
  </w:style>
  <w:style w:type="character" w:styleId="FollowedHyperlink">
    <w:name w:val="FollowedHyperlink"/>
    <w:basedOn w:val="DefaultParagraphFont"/>
    <w:uiPriority w:val="99"/>
    <w:semiHidden w:val="1"/>
    <w:unhideWhenUsed w:val="1"/>
    <w:rsid w:val="005052A1"/>
    <w:rPr>
      <w:color w:val="954f72" w:themeColor="followedHyperlink"/>
      <w:u w:val="single"/>
    </w:rPr>
  </w:style>
  <w:style w:type="table" w:styleId="TableGrid">
    <w:name w:val="Table Grid"/>
    <w:basedOn w:val="TableNormal"/>
    <w:uiPriority w:val="39"/>
    <w:rsid w:val="00C30F49"/>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9F4E49"/>
    <w:pPr>
      <w:tabs>
        <w:tab w:val="center" w:pos="4513"/>
        <w:tab w:val="right" w:pos="9026"/>
      </w:tabs>
    </w:pPr>
  </w:style>
  <w:style w:type="character" w:styleId="HeaderChar" w:customStyle="1">
    <w:name w:val="Header Char"/>
    <w:basedOn w:val="DefaultParagraphFont"/>
    <w:link w:val="Header"/>
    <w:uiPriority w:val="99"/>
    <w:rsid w:val="009F4E49"/>
  </w:style>
  <w:style w:type="paragraph" w:styleId="Footer">
    <w:name w:val="footer"/>
    <w:basedOn w:val="Normal"/>
    <w:link w:val="FooterChar"/>
    <w:uiPriority w:val="99"/>
    <w:unhideWhenUsed w:val="1"/>
    <w:rsid w:val="009F4E49"/>
    <w:pPr>
      <w:tabs>
        <w:tab w:val="center" w:pos="4513"/>
        <w:tab w:val="right" w:pos="9026"/>
      </w:tabs>
    </w:pPr>
  </w:style>
  <w:style w:type="character" w:styleId="FooterChar" w:customStyle="1">
    <w:name w:val="Footer Char"/>
    <w:basedOn w:val="DefaultParagraphFont"/>
    <w:link w:val="Footer"/>
    <w:uiPriority w:val="99"/>
    <w:rsid w:val="009F4E49"/>
  </w:style>
  <w:style w:type="paragraph" w:styleId="Revision">
    <w:name w:val="Revision"/>
    <w:hidden w:val="1"/>
    <w:uiPriority w:val="99"/>
    <w:semiHidden w:val="1"/>
    <w:rsid w:val="000C5B5B"/>
  </w:style>
  <w:style w:type="table" w:styleId="Table1">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QmZEV4XIqL/0cSVMHdkeaU8g==">CgMxLjA4AGonChRzdWdnZXN0LmZkMnd5c2U4OGZ4MhIPQWxleGVpIE9ybG92c2tpciExWHkta3NhSEd0VDhYZTczTThnN1RvVHdmUVVZTWFZbHk=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2025-12-18T08:45:00Z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0x010100E6B6BA009A6FDA46BD2276CA715C74A5</vt:lpwstr>
  </property>
  <property fmtid="{D5CDD505-2E9C-101B-9397-08002B2CF9AE}" pid="3" name="MediaServiceImageTags">
    <vt:lpwstr/>
  </property>
  <property fmtid="{D5CDD505-2E9C-101B-9397-08002B2CF9AE}" pid="4" name="Order">
    <vt:r8>3.47817E7</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