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 5.  Technical Specifications for smart meters and communication modules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  <w:tab w:val="left" w:leader="none" w:pos="7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5.0" w:type="dxa"/>
        <w:jc w:val="left"/>
        <w:tblInd w:w="-92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A0"/>
      </w:tblPr>
      <w:tblGrid>
        <w:gridCol w:w="2791"/>
        <w:gridCol w:w="2793"/>
        <w:gridCol w:w="2793"/>
        <w:gridCol w:w="2388"/>
        <w:tblGridChange w:id="0">
          <w:tblGrid>
            <w:gridCol w:w="2791"/>
            <w:gridCol w:w="2793"/>
            <w:gridCol w:w="2793"/>
            <w:gridCol w:w="238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1 phase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3 phase direct connection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3 phase TC Connection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Total Meters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  <w:tab w:val="left" w:leader="none" w:pos="7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0"/>
          <w:tab w:val="left" w:leader="none" w:pos="720"/>
          <w:tab w:val="right" w:leader="none" w:pos="864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98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6"/>
        <w:gridCol w:w="1471"/>
        <w:gridCol w:w="140"/>
        <w:gridCol w:w="49"/>
        <w:gridCol w:w="9"/>
        <w:gridCol w:w="241"/>
        <w:gridCol w:w="996"/>
        <w:gridCol w:w="316"/>
        <w:gridCol w:w="174"/>
        <w:gridCol w:w="102"/>
        <w:gridCol w:w="1119"/>
        <w:gridCol w:w="1492"/>
        <w:gridCol w:w="1498"/>
        <w:gridCol w:w="1515"/>
        <w:tblGridChange w:id="0">
          <w:tblGrid>
            <w:gridCol w:w="2276"/>
            <w:gridCol w:w="1471"/>
            <w:gridCol w:w="140"/>
            <w:gridCol w:w="49"/>
            <w:gridCol w:w="9"/>
            <w:gridCol w:w="241"/>
            <w:gridCol w:w="996"/>
            <w:gridCol w:w="316"/>
            <w:gridCol w:w="174"/>
            <w:gridCol w:w="102"/>
            <w:gridCol w:w="1119"/>
            <w:gridCol w:w="1492"/>
            <w:gridCol w:w="1498"/>
            <w:gridCol w:w="1515"/>
          </w:tblGrid>
        </w:tblGridChange>
      </w:tblGrid>
      <w:tr>
        <w:trPr>
          <w:cantSplit w:val="0"/>
          <w:trHeight w:val="212" w:hRule="atLeast"/>
          <w:tblHeader w:val="0"/>
        </w:trPr>
        <w:tc>
          <w:tcPr>
            <w:gridSpan w:val="11"/>
            <w:shd w:fill="e2efd9" w:val="clear"/>
          </w:tcPr>
          <w:p w:rsidR="00000000" w:rsidDel="00000000" w:rsidP="00000000" w:rsidRDefault="00000000" w:rsidRPr="00000000" w14:paraId="00000011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TECHINCAL SPECIFICATIONS SMART METERS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C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e2efd9" w:val="clear"/>
          </w:tcPr>
          <w:p w:rsidR="00000000" w:rsidDel="00000000" w:rsidP="00000000" w:rsidRDefault="00000000" w:rsidRPr="00000000" w14:paraId="0000001D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4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Accuracy class: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 Active Energy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 Reactive Energy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С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Reference current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5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5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5 A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Maximum current, Iref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60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80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 5 A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Minimum current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0.05 Iref for active /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0.05 Iref for reactive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0.05 Iref for active /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0.05 Iref for reactive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0.01 Iref for active / 0.02 Iref for reactive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Reference voltage, Un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230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3×230/400 V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3×230/400 V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Reference frequency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 Hz (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 Hz (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2 %)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 Hz (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±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2 %)</w:t>
            </w:r>
          </w:p>
        </w:tc>
      </w:tr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Inherent consumption (EN 50470-3 , IEC 62053/21-22-23, IEC 62053-61, without communications overhead) of current circuit, not more than of voltage circuit, not more than 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VA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W / 10 VA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VA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W / 10 VA per phase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VA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W / 10 VA per phase</w:t>
            </w:r>
          </w:p>
        </w:tc>
      </w:tr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Inherent consumption of voltage circuit (IEC 62052-11, IEC 62053/21-22-23, IEC 62053-61, including communication overhead), not more than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 W / 10 VA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W / 10 VA per phase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W / 10 VA per phase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Internal clock accuracy (IEC 62052-21)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0.5 s / 24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0.5 s / 24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0.5 s / 24 h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Insulation strength (IEC 61010-1-90)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kV, 50 Hz, 1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kV, 50 Hz, 1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kV, 50 Hz, 1 min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Shock voltage (IEC 60060-1)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kV, 1.2/50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μ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kV, 1.2/50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μ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kV, 1.2/50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μ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Electrostatic discharge (IEC 61000-4-2)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 kV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frequency radiant field (IEC 61000-4-3)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≥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30 V/m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≥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30 V/m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rtl w:val="0"/>
              </w:rPr>
              <w:t xml:space="preserve">≥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30 V/m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frequency interferences (IEC 6100-4-4)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kV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Surge immunity test (IEC 6100-4-5)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kV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IP rating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IP54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IP54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IP54</w:t>
            </w:r>
          </w:p>
        </w:tc>
      </w:tr>
      <w:tr>
        <w:trPr>
          <w:cantSplit w:val="0"/>
          <w:trHeight w:val="212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Mechanical class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min. M1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MTL (Mean Total Lifetime)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not less 15 years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not less 15 years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not less 15 years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MTBF (Mean Time Before Fail)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less than / year 0.5%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less than / year 0.5%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less than / year 0.5%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124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CERTIFICATES</w:t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125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</w:p>
        </w:tc>
      </w:tr>
      <w:tr>
        <w:trPr>
          <w:cantSplit w:val="0"/>
          <w:trHeight w:val="1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MID certificate 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Should be issued by European recognized lab </w:t>
            </w:r>
          </w:p>
        </w:tc>
      </w:tr>
      <w:tr>
        <w:trPr>
          <w:cantSplit w:val="0"/>
          <w:trHeight w:val="212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PLC certificate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PLC PRIME 1.3.6 and 1.4</w:t>
              <w:tab/>
              <w:tab/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Production certificate 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According to MID (mode D)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ISO 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9001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169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FUNCTIONAL SPECIFICATIONS - METERING PARAMETERS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16A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METERING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Actual meter readings;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Periodic (billing) meter readings: Day, month;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Interval meter readings: 15’, 30’, 60'; day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Timestamp.</w:t>
            </w:r>
          </w:p>
        </w:tc>
      </w:tr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MULTI-RATE METERING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 to 4 tariff registers, flexible adjustment of tariff intervals;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Min. 4 changeovers per day;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Tariff indicator is displayed on LCD and transmitted to an external system;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Active and passive tariff plans, configurable activation time of the passive tariff plan.</w:t>
            </w:r>
          </w:p>
        </w:tc>
      </w:tr>
      <w:tr>
        <w:trPr>
          <w:cantSplit w:val="0"/>
          <w:trHeight w:val="1758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MEASURED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Active energy, class B, export/import;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Reactive energy, class 2, 4 quadrants;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Apparent energy;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Active/reactive power, apparent power;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Phase voltage/current, instantaneous value (True RMS, integration period 1 s);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Voltage angle values relative to the voltage in first phase and phase currents relative to relevant phase voltages.</w:t>
            </w:r>
          </w:p>
        </w:tc>
      </w:tr>
      <w:tr>
        <w:trPr>
          <w:cantSplit w:val="0"/>
          <w:trHeight w:val="879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METERING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 to 4 seasons per year;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 to 7 daily profiles per week;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 to 30 special days per year;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 of movable holidays.</w:t>
            </w:r>
          </w:p>
        </w:tc>
      </w:tr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DATA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Non-volatile memory;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 less than 3 interval profiles and 1 billing profile.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Storage capacity: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 minutes interval profile: not less than 45 days for 6 parameters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Asynchronous profile (spontaneous events), last entries data.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OPERATING MODES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Normal mode;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Energy saving mode - real time clock, opening sensors, and data displaying are active.</w:t>
            </w:r>
          </w:p>
        </w:tc>
      </w:tr>
      <w:tr>
        <w:trPr>
          <w:cantSplit w:val="0"/>
          <w:trHeight w:val="1535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POWER QUALITY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Quality indexes: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average voltage;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voltage sags and swells;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outages;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network frequency;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THD for voltage/current harmonics;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or local configuring of parameters thresholds and control actions.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1E8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FUNCTIONAL SPECIFICATIONS - MANAGEMENT AND CONTROL PARAMETERS</w:t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1E9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DLMS/COSEM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IEC 62056 compliant;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Object Identification System compliant;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 data models;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 communications protocols.</w:t>
            </w:r>
          </w:p>
        </w:tc>
      </w:tr>
      <w:tr>
        <w:trPr>
          <w:cantSplit w:val="0"/>
          <w:trHeight w:val="1313" w:hRule="atLeast"/>
          <w:tblHeader w:val="0"/>
        </w:trPr>
        <w:tc>
          <w:tcPr/>
          <w:p w:rsidR="00000000" w:rsidDel="00000000" w:rsidP="00000000" w:rsidRDefault="00000000" w:rsidRPr="00000000" w14:paraId="0000020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TRANSMISSION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 demand;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By Schedule;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HES request;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request (via optical port).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Internal interface for transformer connected meters (which is an integrated part of the data concentrator) 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SOFTWARE UPGRADE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(via communication channel);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(via RS-485 or optical port) </w:t>
            </w:r>
          </w:p>
        </w:tc>
      </w:tr>
      <w:tr>
        <w:trPr>
          <w:cantSplit w:val="0"/>
          <w:trHeight w:val="1313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FRAUD AND THEFT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Non-stop monitoring, including sleep mode time;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Meter cover opening sensor;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Terminal block cover sensor;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Reverse meter connection control;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Strong magnetic field detection;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Events registering in relevant logs;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BUILT IN 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Real-time clock with 0.5 s accuracy per day;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IEC 62052-21 standard compliant;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External synchronization with HES</w:t>
            </w:r>
          </w:p>
        </w:tc>
      </w:tr>
      <w:tr>
        <w:trPr>
          <w:cantSplit w:val="0"/>
          <w:trHeight w:val="1546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EVENTS AND ALARMS 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Continuous control of current state of meter functional nodes and alarms/events;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 set of events processing including: registration in special logs and registers, event report sending, states displaying;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Different types of event logs;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Asynchronous sending of Event;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Notification can be configured for specific events.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METER SELF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Built-in test for continuous self-control;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Quick response on severe error  </w:t>
            </w:r>
          </w:p>
        </w:tc>
      </w:tr>
      <w:tr>
        <w:trPr>
          <w:cantSplit w:val="0"/>
          <w:trHeight w:val="1324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POWER LOAD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Basic relay (80 A) – for direct connected meters only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Control modes: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(by command)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(by condition)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59" w:right="0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manual - by push button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Basic relay status displayed on the meter LCD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METER PARAMETRIZATION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(via communication channel) or local (via optical port);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Access rights assignment from HES;</w:t>
            </w:r>
          </w:p>
        </w:tc>
      </w:tr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THRESHOLDS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Threshold for active power, active power demand, current/voltage (per phase), differential current (direct connected meters only);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Remote or local configuring of parameters thresholds;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Possibility to disconnect consumer from the network, when a threshold is crossed.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28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BACK-UP POWER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Supports clock/meter operation when the power is off;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Battery, lifetime - not less than 10 years.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297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FUNCTIONAL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SPECIFICATIONS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298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2A4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2B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Communication encryption (AES-GCM-128 security suite);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access according to access rights stated;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Firmware protection.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2BD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FUNCTIONAL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SPECIFICATIONS - INTERFACES</w:t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2BE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2C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OPTICAL 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IEC 62056-21 Compliant;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rates - up to 19200 bps;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Password protected;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Multiple access levels.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BUILT-IN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LCD with min 8 lines;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Configurable decimal places (up to 3 digits);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Manual and automatic scrolling;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Backlight.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 OUTPUTS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led outputs;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Active and reactive energy;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PUSH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Scroll meter screens;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View data on LCD, when the power is off.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RS485 SERIAL INTERFACE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EIA/TIA-485A standard;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Baud rate - up to 38400 bps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317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shd w:fill="fff2cc" w:val="clear"/>
                <w:rtl w:val="0"/>
              </w:rPr>
              <w:t xml:space="preserve">FUNCTIONAL SPECIFICATIONS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REMOTE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2cc" w:val="clear"/>
          </w:tcPr>
          <w:p w:rsidR="00000000" w:rsidDel="00000000" w:rsidP="00000000" w:rsidRDefault="00000000" w:rsidRPr="00000000" w14:paraId="00000318">
            <w:pPr>
              <w:shd w:fill="fff2cc" w:val="clear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REQUIRED SPECIFICATIONS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324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single-phase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329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direct connected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Smart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meters,</w:t>
            </w:r>
          </w:p>
          <w:p w:rsidR="00000000" w:rsidDel="00000000" w:rsidP="00000000" w:rsidRDefault="00000000" w:rsidRPr="00000000" w14:paraId="0000032C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three-phase transformer connected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33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POWER LINE COMMUNICATION (PLC)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OFDM PLC Module;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 compliant with specification ITU-T G.9904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CENELEC and FCC bands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Auto-discovery;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2" w:right="0" w:hanging="14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Repeating.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REMOTE DISCONNECTION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Bi-stable switching module for local or remote disconnection/reconnection;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Min. 10 000 mechanical disconnections/reconnections under maximum load.</w:t>
            </w:r>
          </w:p>
        </w:tc>
      </w:tr>
    </w:tbl>
    <w:p w:rsidR="00000000" w:rsidDel="00000000" w:rsidP="00000000" w:rsidRDefault="00000000" w:rsidRPr="00000000" w14:paraId="0000034B">
      <w:pPr>
        <w:rPr>
          <w:b w:val="1"/>
          <w:bCs w:val="1"/>
          <w:color w:val="8eaad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tabs>
          <w:tab w:val="left" w:leader="none" w:pos="-720"/>
          <w:tab w:val="left" w:leader="none" w:pos="0"/>
          <w:tab w:val="left" w:leader="none" w:pos="720"/>
          <w:tab w:val="right" w:leader="none" w:pos="8640"/>
        </w:tabs>
        <w:spacing w:after="0" w:line="240" w:lineRule="auto"/>
        <w:jc w:val="both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5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4110"/>
        <w:gridCol w:w="360"/>
        <w:gridCol w:w="105"/>
        <w:gridCol w:w="105"/>
        <w:gridCol w:w="240"/>
        <w:gridCol w:w="3705"/>
        <w:tblGridChange w:id="0">
          <w:tblGrid>
            <w:gridCol w:w="2925"/>
            <w:gridCol w:w="4110"/>
            <w:gridCol w:w="360"/>
            <w:gridCol w:w="105"/>
            <w:gridCol w:w="105"/>
            <w:gridCol w:w="240"/>
            <w:gridCol w:w="370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D">
            <w:pPr>
              <w:shd w:fill="fff2cc" w:val="clear"/>
              <w:ind w:left="36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TECHNICAL SPECIFICATIONS communication modules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Specifications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3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single-phase</w:t>
            </w:r>
          </w:p>
        </w:tc>
        <w:tc>
          <w:tcPr>
            <w:gridSpan w:val="5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Smart meters,</w:t>
            </w:r>
          </w:p>
          <w:p w:rsidR="00000000" w:rsidDel="00000000" w:rsidP="00000000" w:rsidRDefault="00000000" w:rsidRPr="00000000" w14:paraId="0000035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three-phase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Compatibility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Compatible with chosen meter</w:t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3GPP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Interface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2G/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3G/4G (one of them or several)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 or eSIM;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Built-in protocol stack: TCP/IP, UDP/IP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IPv4/IPv6 support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 communication upstream with the head-end system;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transmission by schedule or on request from the head-end system;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Connector for external antennas.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Interfaces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min. 1 x RS-485 or RS-232 for connection of meter with communication module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Cellular 2G/3G/4G auto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Installation under sealable meter terminal cover, to prevent unauthorised access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Housing made of non-flammable material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2" w:right="0" w:hanging="14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Power supply from the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Additional equipment to be  supplied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Compatible external antennas for each module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0">
      <w:pPr>
        <w:rPr>
          <w:b w:val="1"/>
          <w:bCs w:val="1"/>
          <w:color w:val="8eaadb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34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ingle" w:customStyle="1">
    <w:name w:val="Single"/>
    <w:basedOn w:val="Normal"/>
    <w:rsid w:val="009511CB"/>
    <w:pPr>
      <w:tabs>
        <w:tab w:val="left" w:pos="-720"/>
        <w:tab w:val="left" w:pos="0"/>
        <w:tab w:val="left" w:pos="720"/>
      </w:tabs>
      <w:suppressAutoHyphens w:val="1"/>
      <w:spacing w:after="0" w:line="240" w:lineRule="auto"/>
      <w:ind w:left="2160" w:hanging="720"/>
      <w:jc w:val="both"/>
    </w:pPr>
    <w:rPr>
      <w:rFonts w:ascii="Times New Roman" w:cs="Times New Roman" w:eastAsia="Times New Roman" w:hAnsi="Times New Roman"/>
      <w:spacing w:val="-2"/>
      <w:sz w:val="24"/>
      <w:szCs w:val="20"/>
    </w:rPr>
  </w:style>
  <w:style w:type="table" w:styleId="GridTable5Dark-Accent6">
    <w:name w:val="Grid Table 5 Dark Accent 6"/>
    <w:basedOn w:val="TableNormal"/>
    <w:uiPriority w:val="50"/>
    <w:rsid w:val="009511C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eGrid">
    <w:name w:val="Table Grid"/>
    <w:aliases w:val="CV table"/>
    <w:basedOn w:val="TableNormal"/>
    <w:uiPriority w:val="39"/>
    <w:rsid w:val="009511CB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Lapis Bulleted List,Dot pt,F5 List Paragraph,List Paragraph Char Char Char,Indicator Text,Numbered Para 1,Bullet 1,List Paragraph12,Bullet Points,MAIN CONTENT,WB Para,List 100s,List Paragraph (numbered (a)),Bullets,References,Bullet List"/>
    <w:basedOn w:val="Normal"/>
    <w:link w:val="ListParagraphChar"/>
    <w:uiPriority w:val="34"/>
    <w:qFormat w:val="1"/>
    <w:rsid w:val="009511CB"/>
    <w:pPr>
      <w:ind w:left="720"/>
      <w:contextualSpacing w:val="1"/>
    </w:pPr>
  </w:style>
  <w:style w:type="character" w:styleId="ListParagraphChar" w:customStyle="1">
    <w:name w:val="List Paragraph Char"/>
    <w:aliases w:val="Lapis Bulleted List Char,Dot pt Char,F5 List Paragraph Char,List Paragraph Char Char Char Char,Indicator Text Char,Numbered Para 1 Char,Bullet 1 Char,List Paragraph12 Char,Bullet Points Char,MAIN CONTENT Char,WB Para Char"/>
    <w:basedOn w:val="DefaultParagraphFont"/>
    <w:link w:val="ListParagraph"/>
    <w:uiPriority w:val="34"/>
    <w:qFormat w:val="1"/>
    <w:rsid w:val="009511CB"/>
    <w:rPr>
      <w:kern w:val="0"/>
      <w:lang w:val="en-GB"/>
    </w:rPr>
  </w:style>
  <w:style w:type="character" w:styleId="rynqvb" w:customStyle="1">
    <w:name w:val="rynqvb"/>
    <w:basedOn w:val="DefaultParagraphFont"/>
    <w:rsid w:val="009511CB"/>
  </w:style>
  <w:style w:type="paragraph" w:styleId="Revision">
    <w:name w:val="Revision"/>
    <w:hidden w:val="1"/>
    <w:uiPriority w:val="99"/>
    <w:semiHidden w:val="1"/>
    <w:rsid w:val="006B7DEB"/>
    <w:pPr>
      <w:spacing w:after="0" w:line="240" w:lineRule="auto"/>
    </w:pPr>
    <w:rPr>
      <w:kern w:val="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5e0b3" w:val="clear"/>
      </w:tcPr>
    </w:tblStylePr>
    <w:tblStylePr w:type="band1Vert">
      <w:tcPr>
        <w:shd w:fill="c5e0b3" w:val="clear"/>
      </w:tcPr>
    </w:tblStylePr>
    <w:tblStylePr w:type="firstCol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70ad47" w:val="clear"/>
      </w:tcPr>
    </w:tblStylePr>
    <w:tblStylePr w:type="firstRow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  <w:bCs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70ad47" w:val="clear"/>
      </w:tcPr>
    </w:tblStylePr>
    <w:tblStylePr w:type="lastRow">
      <w:rPr>
        <w:b w:val="1"/>
        <w:bCs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mHovYVaPyObxD4x0qD9/32gfg==">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2024-05-24T21:49:00Z</dcterms:created>
  <dc:creator>Alexandru Maxim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0x010100E6B6BA009A6FDA46BD2276CA715C74A5</vt:lpwstr>
  </property>
  <property fmtid="{D5CDD505-2E9C-101B-9397-08002B2CF9AE}" pid="3" name="MediaServiceImageTags">
    <vt:lpwstr/>
  </property>
  <property fmtid="{D5CDD505-2E9C-101B-9397-08002B2CF9AE}" pid="4" name="Order">
    <vt:r8>3.52638E7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