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5FDC6" w14:textId="77777777" w:rsidR="004463E3" w:rsidRDefault="00190C9A">
      <w:pPr>
        <w:pStyle w:val="Heading1"/>
        <w:numPr>
          <w:ilvl w:val="1"/>
          <w:numId w:val="1"/>
        </w:numPr>
        <w:rPr>
          <w:rFonts w:ascii="Calibri" w:eastAsia="Calibri" w:hAnsi="Calibri" w:cs="Calibri"/>
          <w:b/>
          <w:i/>
          <w:sz w:val="22"/>
          <w:szCs w:val="22"/>
        </w:rPr>
      </w:pPr>
      <w:bookmarkStart w:id="0" w:name="_heading=h.gjdgxs" w:colFirst="0" w:colLast="0"/>
      <w:bookmarkEnd w:id="0"/>
      <w:r>
        <w:rPr>
          <w:rFonts w:ascii="Calibri" w:eastAsia="Calibri" w:hAnsi="Calibri" w:cs="Calibri"/>
          <w:b/>
          <w:sz w:val="22"/>
          <w:szCs w:val="22"/>
        </w:rPr>
        <w:t xml:space="preserve">Terms of Reference (ToR) for PARTNER Capacity/ Micro Assessment </w:t>
      </w:r>
    </w:p>
    <w:p w14:paraId="384575BD" w14:textId="77777777" w:rsidR="004463E3" w:rsidRDefault="00190C9A">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This TOR has been developed to guide United Nations agencies (UN agencies), third party service providers and implementing partners (IPs) through the objectives, scope, logistics and deliverables of performing micro assessments.</w:t>
      </w:r>
    </w:p>
    <w:p w14:paraId="5BC2A136" w14:textId="77777777" w:rsidR="004463E3" w:rsidRDefault="00190C9A">
      <w:pPr>
        <w:pBdr>
          <w:top w:val="nil"/>
          <w:left w:val="nil"/>
          <w:bottom w:val="nil"/>
          <w:right w:val="nil"/>
          <w:between w:val="nil"/>
        </w:pBdr>
        <w:spacing w:after="160"/>
        <w:rPr>
          <w:rFonts w:ascii="Calibri" w:eastAsia="Calibri" w:hAnsi="Calibri" w:cs="Calibri"/>
          <w:b/>
          <w:i/>
          <w:sz w:val="22"/>
          <w:szCs w:val="22"/>
        </w:rPr>
      </w:pPr>
      <w:r>
        <w:rPr>
          <w:rFonts w:ascii="Calibri" w:eastAsia="Calibri" w:hAnsi="Calibri" w:cs="Calibri"/>
          <w:b/>
          <w:sz w:val="22"/>
          <w:szCs w:val="22"/>
        </w:rPr>
        <w:t>Objective and scope of the micro assessment</w:t>
      </w:r>
    </w:p>
    <w:p w14:paraId="54AF6E61" w14:textId="77777777" w:rsidR="004463E3" w:rsidRDefault="00190C9A">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The partner capacity/ micro assessment is performed by a third party service provider and includes a site visit to the IP. The assessment primarily consists of interviews with IP personnel and a review of relevant documentation sufficient to complete the assessment questionnaire (Annex 2). The questionnaire provides an overall risk rating based on responses provided:</w:t>
      </w:r>
    </w:p>
    <w:p w14:paraId="692A704E" w14:textId="6D695C5A" w:rsidR="004463E3" w:rsidRDefault="00190C9A" w:rsidP="42AB921A">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sidRPr="42AB921A">
        <w:rPr>
          <w:rFonts w:ascii="Calibri" w:eastAsia="Calibri" w:hAnsi="Calibri" w:cs="Calibri"/>
          <w:b/>
          <w:bCs/>
          <w:sz w:val="22"/>
          <w:szCs w:val="22"/>
        </w:rPr>
        <w:t>Low risk –</w:t>
      </w:r>
      <w:r w:rsidRPr="42AB921A">
        <w:rPr>
          <w:rFonts w:ascii="Calibri" w:eastAsia="Calibri" w:hAnsi="Calibri" w:cs="Calibri"/>
          <w:sz w:val="22"/>
          <w:szCs w:val="22"/>
        </w:rPr>
        <w:t xml:space="preserve"> Indicates a well-developed financial management system and functioning control framework with a low likelihood of negative impact on the IP’s ability to execute the</w:t>
      </w:r>
      <w:r w:rsidR="002B3890">
        <w:rPr>
          <w:rFonts w:ascii="Calibri" w:eastAsia="Calibri" w:hAnsi="Calibri" w:cs="Calibri"/>
          <w:sz w:val="22"/>
          <w:szCs w:val="22"/>
        </w:rPr>
        <w:t xml:space="preserve"> </w:t>
      </w:r>
      <w:r w:rsidRPr="42AB921A">
        <w:rPr>
          <w:rFonts w:ascii="Calibri" w:eastAsia="Calibri" w:hAnsi="Calibri" w:cs="Calibri"/>
          <w:sz w:val="22"/>
          <w:szCs w:val="22"/>
        </w:rPr>
        <w:t xml:space="preserve"> programme in accordance with the work plan.</w:t>
      </w:r>
    </w:p>
    <w:p w14:paraId="1C233DD9" w14:textId="77777777" w:rsidR="004463E3" w:rsidRDefault="00190C9A">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b/>
          <w:sz w:val="22"/>
          <w:szCs w:val="22"/>
        </w:rPr>
        <w:t>Moderate</w:t>
      </w:r>
      <w:r>
        <w:rPr>
          <w:rFonts w:ascii="Calibri" w:eastAsia="Calibri" w:hAnsi="Calibri" w:cs="Calibri"/>
          <w:b/>
          <w:sz w:val="22"/>
          <w:szCs w:val="22"/>
          <w:vertAlign w:val="superscript"/>
        </w:rPr>
        <w:footnoteReference w:id="2"/>
      </w:r>
      <w:r>
        <w:rPr>
          <w:rFonts w:ascii="Calibri" w:eastAsia="Calibri" w:hAnsi="Calibri" w:cs="Calibri"/>
          <w:b/>
          <w:sz w:val="22"/>
          <w:szCs w:val="22"/>
        </w:rPr>
        <w:t xml:space="preserve"> risk </w:t>
      </w:r>
      <w:r>
        <w:rPr>
          <w:rFonts w:ascii="Calibri" w:eastAsia="Calibri" w:hAnsi="Calibri" w:cs="Calibri"/>
          <w:sz w:val="22"/>
          <w:szCs w:val="22"/>
        </w:rPr>
        <w:t>– Indicates a developed financial management system and control framework with moderate likelihood of potential negative impact on the IP’s ability to execute the programme in accordance with the work plan.</w:t>
      </w:r>
    </w:p>
    <w:p w14:paraId="0F087BB0" w14:textId="77777777" w:rsidR="004463E3" w:rsidRDefault="00190C9A">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b/>
          <w:sz w:val="22"/>
          <w:szCs w:val="22"/>
        </w:rPr>
        <w:t>Significant risk</w:t>
      </w:r>
      <w:r>
        <w:rPr>
          <w:rFonts w:ascii="Calibri" w:eastAsia="Calibri" w:hAnsi="Calibri" w:cs="Calibri"/>
          <w:sz w:val="22"/>
          <w:szCs w:val="22"/>
        </w:rPr>
        <w:t xml:space="preserve"> – Indicates an underdeveloped financial management system or control framework with a significant likelihood of potential negative impact on the IP’s ability to execute the programme in accordance with the work plan.</w:t>
      </w:r>
    </w:p>
    <w:p w14:paraId="537DB7D9" w14:textId="77777777" w:rsidR="004463E3" w:rsidRDefault="00190C9A">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b/>
          <w:sz w:val="22"/>
          <w:szCs w:val="22"/>
        </w:rPr>
        <w:t xml:space="preserve">High risk </w:t>
      </w:r>
      <w:r>
        <w:rPr>
          <w:rFonts w:ascii="Calibri" w:eastAsia="Calibri" w:hAnsi="Calibri" w:cs="Calibri"/>
          <w:sz w:val="22"/>
          <w:szCs w:val="22"/>
        </w:rPr>
        <w:t>– Indicates an underdeveloped financial management system and control framework with a high likelihood of potential negative impact on the IP’s ability to execute the programme in accordance with the work plan.</w:t>
      </w:r>
    </w:p>
    <w:p w14:paraId="1902E06B" w14:textId="77777777" w:rsidR="004463E3" w:rsidRDefault="00190C9A">
      <w:pPr>
        <w:pBdr>
          <w:top w:val="nil"/>
          <w:left w:val="nil"/>
          <w:bottom w:val="nil"/>
          <w:right w:val="nil"/>
          <w:between w:val="nil"/>
        </w:pBdr>
        <w:spacing w:before="40" w:after="80"/>
        <w:rPr>
          <w:rFonts w:ascii="Calibri" w:eastAsia="Calibri" w:hAnsi="Calibri" w:cs="Calibri"/>
          <w:b/>
          <w:sz w:val="22"/>
          <w:szCs w:val="22"/>
        </w:rPr>
      </w:pPr>
      <w:r>
        <w:rPr>
          <w:rFonts w:ascii="Calibri" w:eastAsia="Calibri" w:hAnsi="Calibri" w:cs="Calibri"/>
          <w:sz w:val="22"/>
          <w:szCs w:val="22"/>
        </w:rPr>
        <w:t>The overall risk rating is used by the UN agencies, along with other available information (e.g. history of engagement with the agency and previous assurance results), to determine the type and frequency of assurance activities as per each agency’s guidelines and can be taken into consideration when selecting the appropriate cash transfer modality for an IP, based on each agency’s business model (further detailed in section 8).</w:t>
      </w:r>
    </w:p>
    <w:p w14:paraId="1BDAAB15" w14:textId="77777777" w:rsidR="004463E3" w:rsidRDefault="00190C9A">
      <w:p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b/>
          <w:sz w:val="22"/>
          <w:szCs w:val="22"/>
        </w:rPr>
        <w:t>Logistics</w:t>
      </w:r>
    </w:p>
    <w:p w14:paraId="2EE20E36" w14:textId="77777777" w:rsidR="004463E3" w:rsidRDefault="00190C9A">
      <w:pPr>
        <w:pBdr>
          <w:top w:val="nil"/>
          <w:left w:val="nil"/>
          <w:bottom w:val="nil"/>
          <w:right w:val="nil"/>
          <w:between w:val="nil"/>
        </w:pBdr>
        <w:spacing w:before="120" w:after="120"/>
        <w:jc w:val="left"/>
        <w:rPr>
          <w:rFonts w:ascii="Calibri" w:eastAsia="Calibri" w:hAnsi="Calibri" w:cs="Calibri"/>
          <w:sz w:val="22"/>
          <w:szCs w:val="22"/>
        </w:rPr>
      </w:pPr>
      <w:r>
        <w:rPr>
          <w:rFonts w:ascii="Calibri" w:eastAsia="Calibri" w:hAnsi="Calibri" w:cs="Calibri"/>
          <w:sz w:val="22"/>
          <w:szCs w:val="22"/>
        </w:rPr>
        <w:t>The assessment should be completed (including the site visit and report issuance) within eight weeks of engaging the third party service provider. The UN agency/ies’ focal point and/or inter-agency coordinator will introduce the service provider to the IP and facilitate the site visit.</w:t>
      </w:r>
    </w:p>
    <w:p w14:paraId="3147EF55" w14:textId="77777777" w:rsidR="004463E3" w:rsidRDefault="00190C9A">
      <w:pPr>
        <w:pBdr>
          <w:top w:val="nil"/>
          <w:left w:val="nil"/>
          <w:bottom w:val="nil"/>
          <w:right w:val="nil"/>
          <w:between w:val="nil"/>
        </w:pBdr>
        <w:spacing w:before="120" w:after="120"/>
        <w:jc w:val="left"/>
        <w:rPr>
          <w:rFonts w:ascii="Calibri" w:eastAsia="Calibri" w:hAnsi="Calibri" w:cs="Calibri"/>
          <w:sz w:val="22"/>
          <w:szCs w:val="22"/>
        </w:rPr>
      </w:pPr>
      <w:r>
        <w:rPr>
          <w:rFonts w:ascii="Calibri" w:eastAsia="Calibri" w:hAnsi="Calibri" w:cs="Calibri"/>
          <w:sz w:val="22"/>
          <w:szCs w:val="22"/>
        </w:rPr>
        <w:t>The UN agency/ies provide the following documentation to the service provider for review before starting fieldwork:</w:t>
      </w:r>
    </w:p>
    <w:p w14:paraId="2FB54ED2" w14:textId="77777777" w:rsidR="004463E3" w:rsidRDefault="00190C9A">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sz w:val="22"/>
          <w:szCs w:val="22"/>
        </w:rPr>
        <w:t xml:space="preserve">Copy of the latest macro assessments performed for the country, as applicable; </w:t>
      </w:r>
    </w:p>
    <w:p w14:paraId="599D97F1" w14:textId="77777777" w:rsidR="004463E3" w:rsidRDefault="00190C9A">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sz w:val="22"/>
          <w:szCs w:val="22"/>
        </w:rPr>
        <w:t>UN agency/ies’ work plan(s) and programme documents with the IP</w:t>
      </w:r>
    </w:p>
    <w:p w14:paraId="0DDAE799" w14:textId="77777777" w:rsidR="004463E3" w:rsidRDefault="00190C9A">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sz w:val="22"/>
          <w:szCs w:val="22"/>
        </w:rPr>
        <w:t xml:space="preserve">Copies of reports of any partner/ micro assessments or other relevant assessment previously performed on the IP e.g. review of the IPs or Country’s Public Procurement System to determine its compatibility with the UN's Procurement Rules and Regulations </w:t>
      </w:r>
    </w:p>
    <w:p w14:paraId="21F39367" w14:textId="77777777" w:rsidR="004463E3" w:rsidRDefault="00190C9A">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sz w:val="22"/>
          <w:szCs w:val="22"/>
        </w:rPr>
        <w:t>Copies of reports of any financial or internal control audits and spot checks previously performed on the IP; and</w:t>
      </w:r>
    </w:p>
    <w:p w14:paraId="186AA073" w14:textId="77777777" w:rsidR="004463E3" w:rsidRDefault="00190C9A">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sz w:val="22"/>
          <w:szCs w:val="22"/>
        </w:rPr>
        <w:t>IP and Programme information as per Annex 1</w:t>
      </w:r>
    </w:p>
    <w:p w14:paraId="4D9A20F0" w14:textId="77777777" w:rsidR="004463E3" w:rsidRDefault="00190C9A">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sz w:val="22"/>
          <w:szCs w:val="22"/>
        </w:rPr>
        <w:lastRenderedPageBreak/>
        <w:t>Any other documentation that may help the service provider better understand the context from a United Nations perspective.</w:t>
      </w:r>
    </w:p>
    <w:p w14:paraId="2CEE63C4" w14:textId="77777777" w:rsidR="004463E3" w:rsidRDefault="00190C9A">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b/>
          <w:sz w:val="22"/>
          <w:szCs w:val="22"/>
        </w:rPr>
        <w:t>Procedures and deliverables</w:t>
      </w:r>
    </w:p>
    <w:p w14:paraId="5076221B" w14:textId="77777777" w:rsidR="004463E3" w:rsidRDefault="00190C9A">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The third party service provider receives general information regarding the IP and the programme from the UN agency/ies’ focal point and/or the inter-agency coordinator in preparation for the assessment (see Annex 1 and Items to be provided above). The service provider reviews this documentation in advance of performing a site visit to the IP. The service provider should also provide the IP with an advance request of the documents and interviews they would like to have while on site, to ensure efficient use of time.</w:t>
      </w:r>
    </w:p>
    <w:p w14:paraId="5F073FB9" w14:textId="77777777" w:rsidR="004463E3" w:rsidRDefault="00190C9A">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The third party service provider also completes the micro assessment questionnaire (Annex 2, with instructions) based on the procedures performed during the assessment period. The service provider discusses the results of the questionnaire with relevant IP personnel and the UN agency/ies’ focal point before finalizing it. Upon finalization, the service provider delivers an executive summary, detailing the overall risk rating and specific identified risks, and the completed questionnaire.</w:t>
      </w:r>
    </w:p>
    <w:p w14:paraId="342474D9" w14:textId="77777777" w:rsidR="004463E3" w:rsidRDefault="00190C9A">
      <w:pPr>
        <w:pBdr>
          <w:top w:val="nil"/>
          <w:left w:val="nil"/>
          <w:bottom w:val="nil"/>
          <w:right w:val="nil"/>
          <w:between w:val="nil"/>
        </w:pBdr>
        <w:spacing w:after="160"/>
        <w:jc w:val="left"/>
        <w:rPr>
          <w:rFonts w:ascii="Calibri" w:eastAsia="Calibri" w:hAnsi="Calibri" w:cs="Calibri"/>
          <w:b/>
          <w:i/>
          <w:sz w:val="22"/>
          <w:szCs w:val="22"/>
        </w:rPr>
      </w:pPr>
      <w:r>
        <w:rPr>
          <w:rFonts w:ascii="Calibri" w:eastAsia="Calibri" w:hAnsi="Calibri" w:cs="Calibri"/>
          <w:sz w:val="22"/>
          <w:szCs w:val="22"/>
        </w:rPr>
        <w:t xml:space="preserve">The micro assessment report is to be delivered in the format given in Annex 3. </w:t>
      </w:r>
    </w:p>
    <w:p w14:paraId="75A37E19" w14:textId="77777777" w:rsidR="004463E3" w:rsidRDefault="00190C9A">
      <w:pPr>
        <w:pBdr>
          <w:top w:val="nil"/>
          <w:left w:val="nil"/>
          <w:bottom w:val="nil"/>
          <w:right w:val="nil"/>
          <w:between w:val="nil"/>
        </w:pBdr>
        <w:spacing w:after="160"/>
        <w:rPr>
          <w:rFonts w:ascii="Calibri" w:eastAsia="Calibri" w:hAnsi="Calibri" w:cs="Calibri"/>
          <w:b/>
          <w:i/>
          <w:sz w:val="22"/>
          <w:szCs w:val="22"/>
        </w:rPr>
      </w:pPr>
      <w:r>
        <w:rPr>
          <w:rFonts w:ascii="Calibri" w:eastAsia="Calibri" w:hAnsi="Calibri" w:cs="Calibri"/>
          <w:b/>
          <w:sz w:val="22"/>
          <w:szCs w:val="22"/>
        </w:rPr>
        <w:t>Qualifications of the third party service provider</w:t>
      </w:r>
    </w:p>
    <w:p w14:paraId="1C297A0C" w14:textId="77777777" w:rsidR="004463E3" w:rsidRDefault="00190C9A">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The third party service provider must be experienced in performing assessments similar to a micro assessment and assessing risks related to organizational financial management capacity (i.e. accounting, reporting, procurement and internal controls). The service provider must also have knowledge of the United Nations system and the development sector.</w:t>
      </w:r>
    </w:p>
    <w:p w14:paraId="7E3BE6A9" w14:textId="77777777" w:rsidR="004463E3" w:rsidRDefault="00190C9A">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 xml:space="preserve">For non-LTA holders, CVs of all members of the assessment team should be provided to the commissioning UN agency/ies and should include details on engagements carried out by relevant staff, including ongoing assignments indicating responsibilities assumed by them and their qualifications and experience in undertaking similar assessments. </w:t>
      </w:r>
    </w:p>
    <w:p w14:paraId="5B0CEC76" w14:textId="77777777" w:rsidR="004463E3" w:rsidRDefault="004463E3">
      <w:pPr>
        <w:spacing w:after="0"/>
        <w:jc w:val="left"/>
        <w:rPr>
          <w:rFonts w:ascii="Calibri" w:eastAsia="Calibri" w:hAnsi="Calibri" w:cs="Calibri"/>
          <w:b/>
          <w:i/>
          <w:sz w:val="22"/>
          <w:szCs w:val="22"/>
        </w:rPr>
      </w:pPr>
    </w:p>
    <w:p w14:paraId="19D84981" w14:textId="77777777" w:rsidR="004463E3" w:rsidRDefault="00190C9A">
      <w:pPr>
        <w:spacing w:after="0"/>
        <w:jc w:val="left"/>
        <w:rPr>
          <w:rFonts w:ascii="Calibri" w:eastAsia="Calibri" w:hAnsi="Calibri" w:cs="Calibri"/>
          <w:b/>
          <w:sz w:val="22"/>
          <w:szCs w:val="22"/>
        </w:rPr>
      </w:pPr>
      <w:r>
        <w:br w:type="page"/>
      </w:r>
    </w:p>
    <w:p w14:paraId="19889D27" w14:textId="77777777" w:rsidR="004463E3" w:rsidRDefault="00190C9A">
      <w:pPr>
        <w:keepNext/>
        <w:pBdr>
          <w:top w:val="nil"/>
          <w:left w:val="nil"/>
          <w:bottom w:val="nil"/>
          <w:right w:val="nil"/>
          <w:between w:val="nil"/>
        </w:pBdr>
        <w:spacing w:after="160"/>
        <w:jc w:val="center"/>
        <w:rPr>
          <w:rFonts w:ascii="Calibri" w:eastAsia="Calibri" w:hAnsi="Calibri" w:cs="Calibri"/>
          <w:b/>
          <w:sz w:val="22"/>
          <w:szCs w:val="22"/>
        </w:rPr>
      </w:pPr>
      <w:r>
        <w:rPr>
          <w:rFonts w:ascii="Calibri" w:eastAsia="Calibri" w:hAnsi="Calibri" w:cs="Calibri"/>
          <w:b/>
          <w:sz w:val="22"/>
          <w:szCs w:val="22"/>
        </w:rPr>
        <w:t>Annex 1. IP and Programme Information</w:t>
      </w:r>
    </w:p>
    <w:p w14:paraId="290198FE" w14:textId="77777777" w:rsidR="004463E3" w:rsidRDefault="00190C9A">
      <w:pPr>
        <w:pBdr>
          <w:top w:val="nil"/>
          <w:left w:val="nil"/>
          <w:bottom w:val="nil"/>
          <w:right w:val="nil"/>
          <w:between w:val="nil"/>
        </w:pBdr>
        <w:spacing w:after="200"/>
        <w:rPr>
          <w:rFonts w:ascii="Calibri" w:eastAsia="Calibri" w:hAnsi="Calibri" w:cs="Calibri"/>
          <w:sz w:val="22"/>
          <w:szCs w:val="22"/>
        </w:rPr>
      </w:pPr>
      <w:r>
        <w:rPr>
          <w:rFonts w:ascii="Calibri" w:eastAsia="Calibri" w:hAnsi="Calibri" w:cs="Calibri"/>
          <w:sz w:val="22"/>
          <w:szCs w:val="22"/>
        </w:rPr>
        <w:t>The following information should be completed at the start of the micro assessment and annexed to the report as per the format in Annex 3.</w:t>
      </w:r>
    </w:p>
    <w:tbl>
      <w:tblPr>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00" w:firstRow="0" w:lastRow="0" w:firstColumn="0" w:lastColumn="0" w:noHBand="0" w:noVBand="1"/>
      </w:tblPr>
      <w:tblGrid>
        <w:gridCol w:w="4594"/>
        <w:gridCol w:w="4396"/>
      </w:tblGrid>
      <w:tr w:rsidR="004463E3" w14:paraId="5E9F3695" w14:textId="77777777">
        <w:tc>
          <w:tcPr>
            <w:tcW w:w="4594" w:type="dxa"/>
          </w:tcPr>
          <w:p w14:paraId="3D57081D" w14:textId="77777777" w:rsidR="004463E3" w:rsidRDefault="00190C9A">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Implementing partner name:</w:t>
            </w:r>
          </w:p>
        </w:tc>
        <w:tc>
          <w:tcPr>
            <w:tcW w:w="4396" w:type="dxa"/>
          </w:tcPr>
          <w:p w14:paraId="4EDF1115"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0E2D2552" w14:textId="77777777">
        <w:tc>
          <w:tcPr>
            <w:tcW w:w="4594" w:type="dxa"/>
          </w:tcPr>
          <w:p w14:paraId="1CFDD7CF" w14:textId="77777777" w:rsidR="004463E3" w:rsidRDefault="00190C9A">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Implementing partner code or ID in UNICEF, UNDP, UNFPA records (as applicable)</w:t>
            </w:r>
          </w:p>
        </w:tc>
        <w:tc>
          <w:tcPr>
            <w:tcW w:w="4396" w:type="dxa"/>
          </w:tcPr>
          <w:p w14:paraId="514CE655"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5FC934E4" w14:textId="77777777">
        <w:tc>
          <w:tcPr>
            <w:tcW w:w="4594" w:type="dxa"/>
          </w:tcPr>
          <w:p w14:paraId="74FD777A" w14:textId="77777777" w:rsidR="004463E3" w:rsidRDefault="00190C9A">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Implementing partner contact details (contact name, email address and telephone number):</w:t>
            </w:r>
          </w:p>
        </w:tc>
        <w:tc>
          <w:tcPr>
            <w:tcW w:w="4396" w:type="dxa"/>
          </w:tcPr>
          <w:p w14:paraId="3ADD8878"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4B9B6FA7" w14:textId="77777777">
        <w:tc>
          <w:tcPr>
            <w:tcW w:w="4594" w:type="dxa"/>
          </w:tcPr>
          <w:p w14:paraId="44FEEBBD" w14:textId="77777777" w:rsidR="004463E3" w:rsidRDefault="00190C9A">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Main programmes implemented with the applicable UN Agency/ies:</w:t>
            </w:r>
          </w:p>
        </w:tc>
        <w:tc>
          <w:tcPr>
            <w:tcW w:w="4396" w:type="dxa"/>
          </w:tcPr>
          <w:p w14:paraId="02A6947F"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1B441EC7" w14:textId="77777777">
        <w:tc>
          <w:tcPr>
            <w:tcW w:w="4594" w:type="dxa"/>
          </w:tcPr>
          <w:p w14:paraId="25173742" w14:textId="77777777" w:rsidR="004463E3" w:rsidRDefault="00190C9A">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Key Official in charge of the UN Agency/ies’ programme(s):</w:t>
            </w:r>
          </w:p>
        </w:tc>
        <w:tc>
          <w:tcPr>
            <w:tcW w:w="4396" w:type="dxa"/>
          </w:tcPr>
          <w:p w14:paraId="06AFA470"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58E173F5" w14:textId="77777777">
        <w:tc>
          <w:tcPr>
            <w:tcW w:w="4594" w:type="dxa"/>
          </w:tcPr>
          <w:p w14:paraId="1F5D73B7" w14:textId="77777777" w:rsidR="004463E3" w:rsidRDefault="00190C9A">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Programme location(s):</w:t>
            </w:r>
          </w:p>
        </w:tc>
        <w:tc>
          <w:tcPr>
            <w:tcW w:w="4396" w:type="dxa"/>
          </w:tcPr>
          <w:p w14:paraId="5F2CE887"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413B1A77" w14:textId="77777777">
        <w:tc>
          <w:tcPr>
            <w:tcW w:w="4594" w:type="dxa"/>
          </w:tcPr>
          <w:p w14:paraId="5C2A73F1" w14:textId="77777777" w:rsidR="004463E3" w:rsidRDefault="00190C9A">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Location of records related to the UN Agency/ies’ prorgamme(s):</w:t>
            </w:r>
          </w:p>
        </w:tc>
        <w:tc>
          <w:tcPr>
            <w:tcW w:w="4396" w:type="dxa"/>
          </w:tcPr>
          <w:p w14:paraId="63AEBAA4"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63ADE9E3" w14:textId="77777777">
        <w:tc>
          <w:tcPr>
            <w:tcW w:w="4594" w:type="dxa"/>
          </w:tcPr>
          <w:p w14:paraId="13732EDC" w14:textId="77777777" w:rsidR="004463E3" w:rsidRDefault="00190C9A">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Currency of records maintained:</w:t>
            </w:r>
          </w:p>
        </w:tc>
        <w:tc>
          <w:tcPr>
            <w:tcW w:w="4396" w:type="dxa"/>
          </w:tcPr>
          <w:p w14:paraId="44D9696A"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00F6E175" w14:textId="77777777">
        <w:tc>
          <w:tcPr>
            <w:tcW w:w="4594" w:type="dxa"/>
          </w:tcPr>
          <w:p w14:paraId="21F29643" w14:textId="77777777" w:rsidR="004463E3" w:rsidRDefault="00190C9A">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Latest expenditures incurred/reported to UNICEF, UNDP and UNFPA (as applicable). Indicate the amount (in US$) and the financial reporting period ;</w:t>
            </w:r>
          </w:p>
        </w:tc>
        <w:tc>
          <w:tcPr>
            <w:tcW w:w="4396" w:type="dxa"/>
          </w:tcPr>
          <w:p w14:paraId="727B5849"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59EDCAD4" w14:textId="77777777">
        <w:tc>
          <w:tcPr>
            <w:tcW w:w="4594" w:type="dxa"/>
          </w:tcPr>
          <w:p w14:paraId="1A33FF93" w14:textId="77777777" w:rsidR="004463E3" w:rsidRDefault="00190C9A">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Current or latest cash transfer modality/ies used by the UN agency/ies to the IP</w:t>
            </w:r>
          </w:p>
        </w:tc>
        <w:tc>
          <w:tcPr>
            <w:tcW w:w="4396" w:type="dxa"/>
          </w:tcPr>
          <w:p w14:paraId="57E07B7A"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14781537" w14:textId="77777777">
        <w:tc>
          <w:tcPr>
            <w:tcW w:w="4594" w:type="dxa"/>
          </w:tcPr>
          <w:p w14:paraId="128AFE89" w14:textId="77777777" w:rsidR="004463E3" w:rsidRDefault="00190C9A">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Intended start date of micro assessment:</w:t>
            </w:r>
          </w:p>
        </w:tc>
        <w:tc>
          <w:tcPr>
            <w:tcW w:w="4396" w:type="dxa"/>
          </w:tcPr>
          <w:p w14:paraId="7953873D"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64B14D6E" w14:textId="77777777">
        <w:tc>
          <w:tcPr>
            <w:tcW w:w="4594" w:type="dxa"/>
          </w:tcPr>
          <w:p w14:paraId="5DD2A1BD" w14:textId="77777777" w:rsidR="004463E3" w:rsidRDefault="00190C9A">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Number of days to be spent  for visit to IP:</w:t>
            </w:r>
          </w:p>
        </w:tc>
        <w:tc>
          <w:tcPr>
            <w:tcW w:w="4396" w:type="dxa"/>
          </w:tcPr>
          <w:p w14:paraId="7493C9CA"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3D253221" w14:textId="77777777">
        <w:tc>
          <w:tcPr>
            <w:tcW w:w="4594" w:type="dxa"/>
          </w:tcPr>
          <w:p w14:paraId="00F46954" w14:textId="77777777" w:rsidR="004463E3" w:rsidRDefault="00190C9A">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Any special requests to be considered during the micro assessment</w:t>
            </w:r>
            <w:r>
              <w:rPr>
                <w:rFonts w:ascii="Calibri" w:eastAsia="Calibri" w:hAnsi="Calibri" w:cs="Calibri"/>
                <w:b/>
                <w:sz w:val="22"/>
                <w:szCs w:val="22"/>
                <w:highlight w:val="lightGray"/>
              </w:rPr>
              <w:t>:</w:t>
            </w:r>
          </w:p>
        </w:tc>
        <w:tc>
          <w:tcPr>
            <w:tcW w:w="4396" w:type="dxa"/>
          </w:tcPr>
          <w:p w14:paraId="3B79725D"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bl>
    <w:p w14:paraId="5700E0D9" w14:textId="77777777" w:rsidR="004463E3" w:rsidRDefault="004463E3">
      <w:pPr>
        <w:rPr>
          <w:rFonts w:ascii="Calibri" w:eastAsia="Calibri" w:hAnsi="Calibri" w:cs="Calibri"/>
          <w:sz w:val="22"/>
          <w:szCs w:val="22"/>
        </w:rPr>
      </w:pPr>
    </w:p>
    <w:p w14:paraId="57BEBBE6" w14:textId="77777777" w:rsidR="004463E3" w:rsidRDefault="00190C9A">
      <w:pPr>
        <w:spacing w:after="0"/>
        <w:jc w:val="left"/>
        <w:rPr>
          <w:rFonts w:ascii="Calibri" w:eastAsia="Calibri" w:hAnsi="Calibri" w:cs="Calibri"/>
          <w:sz w:val="22"/>
          <w:szCs w:val="22"/>
        </w:rPr>
      </w:pPr>
      <w:r>
        <w:br w:type="page"/>
      </w:r>
    </w:p>
    <w:p w14:paraId="4B3B42F1" w14:textId="77777777" w:rsidR="004463E3" w:rsidRDefault="00190C9A">
      <w:pPr>
        <w:jc w:val="center"/>
        <w:rPr>
          <w:rFonts w:ascii="Calibri" w:eastAsia="Calibri" w:hAnsi="Calibri" w:cs="Calibri"/>
          <w:b/>
          <w:sz w:val="22"/>
          <w:szCs w:val="22"/>
        </w:rPr>
      </w:pPr>
      <w:r>
        <w:rPr>
          <w:rFonts w:ascii="Calibri" w:eastAsia="Calibri" w:hAnsi="Calibri" w:cs="Calibri"/>
          <w:b/>
          <w:sz w:val="22"/>
          <w:szCs w:val="22"/>
        </w:rPr>
        <w:t>Annex 2: Micro Assessment Questionnaire</w:t>
      </w:r>
    </w:p>
    <w:p w14:paraId="3B83EFF7" w14:textId="77777777" w:rsidR="004463E3" w:rsidRDefault="00190C9A">
      <w:pPr>
        <w:pBdr>
          <w:top w:val="single" w:sz="4" w:space="1" w:color="000000"/>
          <w:left w:val="single" w:sz="4" w:space="0" w:color="000000"/>
          <w:bottom w:val="single" w:sz="4" w:space="1" w:color="000000"/>
          <w:right w:val="single" w:sz="4" w:space="4" w:color="000000"/>
          <w:between w:val="nil"/>
        </w:pBdr>
        <w:spacing w:after="160"/>
        <w:rPr>
          <w:rFonts w:ascii="Calibri" w:eastAsia="Calibri" w:hAnsi="Calibri" w:cs="Calibri"/>
          <w:sz w:val="22"/>
          <w:szCs w:val="22"/>
        </w:rPr>
      </w:pPr>
      <w:r>
        <w:rPr>
          <w:rFonts w:ascii="Calibri" w:eastAsia="Calibri" w:hAnsi="Calibri" w:cs="Calibri"/>
          <w:sz w:val="22"/>
          <w:szCs w:val="22"/>
        </w:rPr>
        <w:t xml:space="preserve">Please see separately provided Excel format for the questionnaire, with calculation formulae included, </w:t>
      </w:r>
      <w:r>
        <w:rPr>
          <w:rFonts w:ascii="Calibri" w:eastAsia="Calibri" w:hAnsi="Calibri" w:cs="Calibri"/>
          <w:sz w:val="22"/>
          <w:szCs w:val="22"/>
          <w:u w:val="single"/>
        </w:rPr>
        <w:t>which has to be used</w:t>
      </w:r>
      <w:r>
        <w:rPr>
          <w:rFonts w:ascii="Calibri" w:eastAsia="Calibri" w:hAnsi="Calibri" w:cs="Calibri"/>
          <w:sz w:val="22"/>
          <w:szCs w:val="22"/>
        </w:rPr>
        <w:t xml:space="preserve">. The Excel file can also be found at </w:t>
      </w:r>
      <w:r>
        <w:rPr>
          <w:rFonts w:ascii="Calibri" w:eastAsia="Calibri" w:hAnsi="Calibri" w:cs="Calibri"/>
          <w:sz w:val="22"/>
          <w:szCs w:val="22"/>
          <w:highlight w:val="yellow"/>
        </w:rPr>
        <w:t>www.undg.org/</w:t>
      </w:r>
      <w:r>
        <w:rPr>
          <w:rFonts w:ascii="Calibri" w:eastAsia="Calibri" w:hAnsi="Calibri" w:cs="Calibri"/>
          <w:sz w:val="22"/>
          <w:szCs w:val="22"/>
        </w:rPr>
        <w:t>.</w:t>
      </w:r>
    </w:p>
    <w:p w14:paraId="4F99BD75" w14:textId="77777777" w:rsidR="004463E3" w:rsidRDefault="00190C9A">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b/>
          <w:sz w:val="22"/>
          <w:szCs w:val="22"/>
        </w:rPr>
        <w:t>Instructions</w:t>
      </w:r>
    </w:p>
    <w:p w14:paraId="58060C77" w14:textId="77777777" w:rsidR="004463E3" w:rsidRDefault="00190C9A">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sz w:val="22"/>
          <w:szCs w:val="22"/>
        </w:rPr>
        <w:t xml:space="preserve">This questionnaire contains questions related to eight subject areas. Certain questions are classified as “key questions” indicating that they have a greater impact in assessing the effective functioning of the IP’s control framework. </w:t>
      </w:r>
    </w:p>
    <w:p w14:paraId="7B191EB3" w14:textId="77777777" w:rsidR="004463E3" w:rsidRDefault="00190C9A">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eastAsia="Calibri" w:hAnsi="Calibri" w:cs="Calibri"/>
          <w:sz w:val="22"/>
          <w:szCs w:val="22"/>
        </w:rPr>
        <w:t xml:space="preserve">Answer each question by selecting ‘Yes’, ‘No’ or ‘N/A’ (for ‘not applicable’) from the drop down menu in the appropriate column. </w:t>
      </w:r>
    </w:p>
    <w:p w14:paraId="0DBBA155" w14:textId="77777777" w:rsidR="004463E3" w:rsidRDefault="00190C9A">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eastAsia="Calibri" w:hAnsi="Calibri" w:cs="Calibri"/>
          <w:sz w:val="22"/>
          <w:szCs w:val="22"/>
        </w:rPr>
        <w:t xml:space="preserve">Use the Risk Assessment column to assign a risk rating (high, significant, moderate or low) for each question based on the response obtained. For example, if the question addresses an item that should ideally be marked ‘Yes’ but was marked ‘No’, it should be assessed for the level of risk it presents to the effective functioning of the IP’s control framework. Assigning risk ratings to each question requires judgment by the assessor as to how the response will impact the effectiveness of the IP’s control framework. </w:t>
      </w:r>
    </w:p>
    <w:p w14:paraId="7228E75C" w14:textId="77777777" w:rsidR="004463E3" w:rsidRDefault="00190C9A">
      <w:pPr>
        <w:pBdr>
          <w:top w:val="nil"/>
          <w:left w:val="nil"/>
          <w:bottom w:val="nil"/>
          <w:right w:val="nil"/>
          <w:between w:val="nil"/>
        </w:pBdr>
        <w:spacing w:after="160"/>
        <w:ind w:left="360"/>
        <w:rPr>
          <w:rFonts w:ascii="Calibri" w:eastAsia="Calibri" w:hAnsi="Calibri" w:cs="Calibri"/>
          <w:sz w:val="22"/>
          <w:szCs w:val="22"/>
        </w:rPr>
      </w:pPr>
      <w:r>
        <w:rPr>
          <w:rFonts w:ascii="Calibri" w:eastAsia="Calibri" w:hAnsi="Calibri" w:cs="Calibri"/>
          <w:b/>
          <w:color w:val="FF0000"/>
          <w:sz w:val="22"/>
          <w:szCs w:val="22"/>
        </w:rPr>
        <w:t>NB: THE APPROPRIATE RISK ASSESSMENT OR “NOT APPLICABLE” MUST BE SELECTED FOR EACH QUESTION. IF THERE ARE QUESTIONS CONTAINING “ERROR” THE RISK RATING FOR THE CATEGORY AND OVERALL WILL BE WRONGLY CALCULATED!</w:t>
      </w:r>
    </w:p>
    <w:p w14:paraId="26409814" w14:textId="77777777" w:rsidR="004463E3" w:rsidRDefault="00190C9A">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eastAsia="Calibri" w:hAnsi="Calibri" w:cs="Calibri"/>
          <w:sz w:val="22"/>
          <w:szCs w:val="22"/>
        </w:rPr>
        <w:t>The risk ratings to be used are:</w:t>
      </w:r>
    </w:p>
    <w:p w14:paraId="17170139" w14:textId="77777777" w:rsidR="004463E3" w:rsidRDefault="00190C9A">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b/>
          <w:i/>
          <w:sz w:val="22"/>
          <w:szCs w:val="22"/>
        </w:rPr>
        <w:t xml:space="preserve">High </w:t>
      </w:r>
      <w:r>
        <w:rPr>
          <w:rFonts w:ascii="Calibri" w:eastAsia="Calibri" w:hAnsi="Calibri" w:cs="Calibri"/>
          <w:sz w:val="22"/>
          <w:szCs w:val="22"/>
        </w:rPr>
        <w:t xml:space="preserve">– Response to question indicates a risk to the effective functioning of the IP’s control framework that has a high likelihood of a potential negative impact on the IP’s ability to execute the programme in accordance with the work plan and stated objectives; </w:t>
      </w:r>
    </w:p>
    <w:p w14:paraId="6896A5E5" w14:textId="77777777" w:rsidR="004463E3" w:rsidRDefault="00190C9A">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b/>
          <w:i/>
          <w:sz w:val="22"/>
          <w:szCs w:val="22"/>
        </w:rPr>
        <w:t xml:space="preserve">Significant </w:t>
      </w:r>
      <w:r>
        <w:rPr>
          <w:rFonts w:ascii="Calibri" w:eastAsia="Calibri" w:hAnsi="Calibri" w:cs="Calibri"/>
          <w:sz w:val="22"/>
          <w:szCs w:val="22"/>
        </w:rPr>
        <w:t>– Response to question indicates a risk to the effective functioning of the IP’s control framework that has a significant likelihood of a potential negative impact on the IP’s ability to execute the programme in accordance with the work plan and stated objectives;</w:t>
      </w:r>
    </w:p>
    <w:p w14:paraId="76673940" w14:textId="77777777" w:rsidR="004463E3" w:rsidRDefault="00190C9A">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b/>
          <w:i/>
          <w:sz w:val="22"/>
          <w:szCs w:val="22"/>
        </w:rPr>
        <w:t xml:space="preserve">Moderate </w:t>
      </w:r>
      <w:r>
        <w:rPr>
          <w:rFonts w:ascii="Calibri" w:eastAsia="Calibri" w:hAnsi="Calibri" w:cs="Calibri"/>
          <w:sz w:val="22"/>
          <w:szCs w:val="22"/>
        </w:rPr>
        <w:t>– Response to question indicates a risk to the effective functioning of the IP’s control framework that has a moderate likelihood of a potential negative impact on the IP’s ability to execute the programme in accordance with the work plan and stated objectives; or</w:t>
      </w:r>
    </w:p>
    <w:p w14:paraId="710C3E23" w14:textId="77777777" w:rsidR="004463E3" w:rsidRDefault="00190C9A">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b/>
          <w:i/>
          <w:sz w:val="22"/>
          <w:szCs w:val="22"/>
        </w:rPr>
        <w:t xml:space="preserve">Low </w:t>
      </w:r>
      <w:r>
        <w:rPr>
          <w:rFonts w:ascii="Calibri" w:eastAsia="Calibri" w:hAnsi="Calibri" w:cs="Calibri"/>
          <w:sz w:val="22"/>
          <w:szCs w:val="22"/>
        </w:rPr>
        <w:t>– Response to question indicates a low risk to the effective functioning of the IP’s control framework and a low likelihood of a potential negative impact on the IP’s ability to execute the programme in accordance with the work plan and stated objectives.</w:t>
      </w:r>
    </w:p>
    <w:p w14:paraId="7DB8C883" w14:textId="77777777" w:rsidR="004463E3" w:rsidRDefault="00190C9A">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i/>
          <w:sz w:val="22"/>
          <w:szCs w:val="22"/>
        </w:rPr>
        <w:t>N/A – The specific question is not applicable for the IP and therefore no risk rating is assigned. It is not expected to be used regularly.</w:t>
      </w:r>
    </w:p>
    <w:p w14:paraId="34F136E9" w14:textId="77777777" w:rsidR="004463E3" w:rsidRDefault="00190C9A">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eastAsia="Calibri" w:hAnsi="Calibri" w:cs="Calibri"/>
          <w:sz w:val="22"/>
          <w:szCs w:val="22"/>
        </w:rPr>
        <w:t xml:space="preserve">The risk points column automatically assigns the points to each question based on the response given. </w:t>
      </w:r>
    </w:p>
    <w:p w14:paraId="24D46316" w14:textId="77777777" w:rsidR="004463E3" w:rsidRDefault="00190C9A">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eastAsia="Calibri" w:hAnsi="Calibri" w:cs="Calibri"/>
          <w:sz w:val="22"/>
          <w:szCs w:val="22"/>
        </w:rPr>
        <w:t>Points are assigned as follows:</w:t>
      </w:r>
    </w:p>
    <w:p w14:paraId="02E9FFB0" w14:textId="77777777" w:rsidR="004463E3" w:rsidRDefault="00190C9A">
      <w:r>
        <w:br w:type="page"/>
      </w:r>
    </w:p>
    <w:tbl>
      <w:tblPr>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8"/>
        <w:gridCol w:w="2996"/>
        <w:gridCol w:w="2996"/>
      </w:tblGrid>
      <w:tr w:rsidR="004463E3" w14:paraId="213AC15A" w14:textId="77777777">
        <w:trPr>
          <w:trHeight w:val="350"/>
        </w:trPr>
        <w:tc>
          <w:tcPr>
            <w:tcW w:w="2998" w:type="dxa"/>
          </w:tcPr>
          <w:p w14:paraId="6602BB5B" w14:textId="77777777" w:rsidR="004463E3" w:rsidRDefault="00190C9A">
            <w:pPr>
              <w:pBdr>
                <w:top w:val="nil"/>
                <w:left w:val="nil"/>
                <w:bottom w:val="nil"/>
                <w:right w:val="nil"/>
                <w:between w:val="nil"/>
              </w:pBdr>
              <w:spacing w:before="120" w:after="120"/>
              <w:rPr>
                <w:rFonts w:ascii="Calibri" w:eastAsia="Calibri" w:hAnsi="Calibri" w:cs="Calibri"/>
                <w:b/>
                <w:sz w:val="22"/>
                <w:szCs w:val="22"/>
              </w:rPr>
            </w:pPr>
            <w:r>
              <w:rPr>
                <w:rFonts w:ascii="Calibri" w:eastAsia="Calibri" w:hAnsi="Calibri" w:cs="Calibri"/>
                <w:b/>
                <w:sz w:val="22"/>
                <w:szCs w:val="22"/>
              </w:rPr>
              <w:t>Risk rating</w:t>
            </w:r>
          </w:p>
        </w:tc>
        <w:tc>
          <w:tcPr>
            <w:tcW w:w="2996" w:type="dxa"/>
          </w:tcPr>
          <w:p w14:paraId="11DA89A6" w14:textId="77777777" w:rsidR="004463E3" w:rsidRDefault="00190C9A">
            <w:pPr>
              <w:pBdr>
                <w:top w:val="nil"/>
                <w:left w:val="nil"/>
                <w:bottom w:val="nil"/>
                <w:right w:val="nil"/>
                <w:between w:val="nil"/>
              </w:pBdr>
              <w:spacing w:before="120" w:after="120"/>
              <w:jc w:val="center"/>
              <w:rPr>
                <w:rFonts w:ascii="Calibri" w:eastAsia="Calibri" w:hAnsi="Calibri" w:cs="Calibri"/>
                <w:b/>
                <w:sz w:val="22"/>
                <w:szCs w:val="22"/>
              </w:rPr>
            </w:pPr>
            <w:r>
              <w:rPr>
                <w:rFonts w:ascii="Calibri" w:eastAsia="Calibri" w:hAnsi="Calibri" w:cs="Calibri"/>
                <w:b/>
                <w:sz w:val="22"/>
                <w:szCs w:val="22"/>
              </w:rPr>
              <w:t>Points: non-key questions</w:t>
            </w:r>
          </w:p>
        </w:tc>
        <w:tc>
          <w:tcPr>
            <w:tcW w:w="2996" w:type="dxa"/>
          </w:tcPr>
          <w:p w14:paraId="07DF6BE4" w14:textId="77777777" w:rsidR="004463E3" w:rsidRDefault="00190C9A">
            <w:pPr>
              <w:pBdr>
                <w:top w:val="nil"/>
                <w:left w:val="nil"/>
                <w:bottom w:val="nil"/>
                <w:right w:val="nil"/>
                <w:between w:val="nil"/>
              </w:pBdr>
              <w:spacing w:before="120" w:after="120"/>
              <w:jc w:val="center"/>
              <w:rPr>
                <w:rFonts w:ascii="Calibri" w:eastAsia="Calibri" w:hAnsi="Calibri" w:cs="Calibri"/>
                <w:b/>
                <w:sz w:val="22"/>
                <w:szCs w:val="22"/>
              </w:rPr>
            </w:pPr>
            <w:r>
              <w:rPr>
                <w:rFonts w:ascii="Calibri" w:eastAsia="Calibri" w:hAnsi="Calibri" w:cs="Calibri"/>
                <w:b/>
                <w:sz w:val="22"/>
                <w:szCs w:val="22"/>
              </w:rPr>
              <w:t>Points: key questions</w:t>
            </w:r>
          </w:p>
        </w:tc>
      </w:tr>
      <w:tr w:rsidR="004463E3" w14:paraId="6A20AB4D" w14:textId="77777777">
        <w:tc>
          <w:tcPr>
            <w:tcW w:w="2998" w:type="dxa"/>
          </w:tcPr>
          <w:p w14:paraId="66186406" w14:textId="77777777" w:rsidR="004463E3" w:rsidRDefault="00190C9A">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High risk</w:t>
            </w:r>
          </w:p>
        </w:tc>
        <w:tc>
          <w:tcPr>
            <w:tcW w:w="2996" w:type="dxa"/>
          </w:tcPr>
          <w:p w14:paraId="50C21B36" w14:textId="77777777" w:rsidR="004463E3" w:rsidRDefault="00190C9A">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4 points</w:t>
            </w:r>
          </w:p>
        </w:tc>
        <w:tc>
          <w:tcPr>
            <w:tcW w:w="2996" w:type="dxa"/>
          </w:tcPr>
          <w:p w14:paraId="419AC913" w14:textId="77777777" w:rsidR="004463E3" w:rsidRDefault="00190C9A">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8 points</w:t>
            </w:r>
          </w:p>
        </w:tc>
      </w:tr>
      <w:tr w:rsidR="004463E3" w14:paraId="496C3291" w14:textId="77777777">
        <w:tc>
          <w:tcPr>
            <w:tcW w:w="2998" w:type="dxa"/>
          </w:tcPr>
          <w:p w14:paraId="02589B2B" w14:textId="77777777" w:rsidR="004463E3" w:rsidRDefault="00190C9A">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Significant risk</w:t>
            </w:r>
          </w:p>
        </w:tc>
        <w:tc>
          <w:tcPr>
            <w:tcW w:w="2996" w:type="dxa"/>
          </w:tcPr>
          <w:p w14:paraId="1C456D35" w14:textId="77777777" w:rsidR="004463E3" w:rsidRDefault="00190C9A">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3 points</w:t>
            </w:r>
          </w:p>
        </w:tc>
        <w:tc>
          <w:tcPr>
            <w:tcW w:w="2996" w:type="dxa"/>
          </w:tcPr>
          <w:p w14:paraId="2E7B40A8" w14:textId="77777777" w:rsidR="004463E3" w:rsidRDefault="00190C9A">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6 points</w:t>
            </w:r>
          </w:p>
        </w:tc>
      </w:tr>
      <w:tr w:rsidR="004463E3" w14:paraId="5159E6D5" w14:textId="77777777">
        <w:tc>
          <w:tcPr>
            <w:tcW w:w="2998" w:type="dxa"/>
          </w:tcPr>
          <w:p w14:paraId="56DCADBB" w14:textId="77777777" w:rsidR="004463E3" w:rsidRDefault="00190C9A">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Moderate risk</w:t>
            </w:r>
          </w:p>
        </w:tc>
        <w:tc>
          <w:tcPr>
            <w:tcW w:w="2996" w:type="dxa"/>
          </w:tcPr>
          <w:p w14:paraId="6B01BC97" w14:textId="77777777" w:rsidR="004463E3" w:rsidRDefault="00190C9A">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2 points</w:t>
            </w:r>
          </w:p>
        </w:tc>
        <w:tc>
          <w:tcPr>
            <w:tcW w:w="2996" w:type="dxa"/>
          </w:tcPr>
          <w:p w14:paraId="3CACEF02" w14:textId="77777777" w:rsidR="004463E3" w:rsidRDefault="00190C9A">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4 points</w:t>
            </w:r>
          </w:p>
        </w:tc>
      </w:tr>
      <w:tr w:rsidR="004463E3" w14:paraId="57C01E5E" w14:textId="77777777">
        <w:tc>
          <w:tcPr>
            <w:tcW w:w="2998" w:type="dxa"/>
          </w:tcPr>
          <w:p w14:paraId="00F961AF" w14:textId="77777777" w:rsidR="004463E3" w:rsidRDefault="00190C9A">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Low risk</w:t>
            </w:r>
          </w:p>
        </w:tc>
        <w:tc>
          <w:tcPr>
            <w:tcW w:w="2996" w:type="dxa"/>
          </w:tcPr>
          <w:p w14:paraId="7A25240D" w14:textId="77777777" w:rsidR="004463E3" w:rsidRDefault="00190C9A">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1 point</w:t>
            </w:r>
          </w:p>
        </w:tc>
        <w:tc>
          <w:tcPr>
            <w:tcW w:w="2996" w:type="dxa"/>
          </w:tcPr>
          <w:p w14:paraId="7DE510BD" w14:textId="77777777" w:rsidR="004463E3" w:rsidRDefault="00190C9A">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1 point</w:t>
            </w:r>
          </w:p>
        </w:tc>
      </w:tr>
    </w:tbl>
    <w:p w14:paraId="0059D1CC" w14:textId="77777777" w:rsidR="004463E3" w:rsidRDefault="004463E3">
      <w:pPr>
        <w:spacing w:after="0"/>
        <w:jc w:val="left"/>
        <w:rPr>
          <w:rFonts w:ascii="Calibri" w:eastAsia="Calibri" w:hAnsi="Calibri" w:cs="Calibri"/>
          <w:b/>
          <w:sz w:val="22"/>
          <w:szCs w:val="22"/>
        </w:rPr>
      </w:pPr>
    </w:p>
    <w:p w14:paraId="10D223D4" w14:textId="77777777" w:rsidR="004463E3" w:rsidRDefault="00190C9A">
      <w:pPr>
        <w:numPr>
          <w:ilvl w:val="0"/>
          <w:numId w:val="4"/>
        </w:numPr>
        <w:pBdr>
          <w:top w:val="nil"/>
          <w:left w:val="nil"/>
          <w:bottom w:val="nil"/>
          <w:right w:val="nil"/>
          <w:between w:val="nil"/>
        </w:pBdr>
        <w:spacing w:after="0"/>
        <w:ind w:left="357" w:hanging="357"/>
        <w:jc w:val="left"/>
        <w:rPr>
          <w:rFonts w:ascii="Calibri" w:eastAsia="Calibri" w:hAnsi="Calibri" w:cs="Calibri"/>
          <w:b/>
          <w:sz w:val="22"/>
          <w:szCs w:val="22"/>
        </w:rPr>
      </w:pPr>
      <w:r>
        <w:rPr>
          <w:rFonts w:ascii="Calibri" w:eastAsia="Calibri" w:hAnsi="Calibri" w:cs="Calibri"/>
          <w:sz w:val="22"/>
          <w:szCs w:val="22"/>
        </w:rPr>
        <w:t xml:space="preserve">Use the ‘Comments’ column next to each question to provide details of the basis for your assessment, and to highlight any important matters. This document will be referenced subsequently by the agency when performing additional assurance activities related to the IP. Sufficient details should be provided in this document for the agency to understand the rationale for your assessment. </w:t>
      </w:r>
    </w:p>
    <w:p w14:paraId="68B52FA4" w14:textId="77777777" w:rsidR="004463E3" w:rsidRDefault="00190C9A">
      <w:pPr>
        <w:spacing w:before="120" w:after="120"/>
        <w:jc w:val="left"/>
        <w:rPr>
          <w:rFonts w:ascii="Calibri" w:eastAsia="Calibri" w:hAnsi="Calibri" w:cs="Calibri"/>
          <w:b/>
          <w:sz w:val="22"/>
          <w:szCs w:val="22"/>
        </w:rPr>
      </w:pPr>
      <w:r>
        <w:rPr>
          <w:rFonts w:ascii="Calibri" w:eastAsia="Calibri" w:hAnsi="Calibri" w:cs="Calibri"/>
          <w:b/>
          <w:sz w:val="22"/>
          <w:szCs w:val="22"/>
        </w:rPr>
        <w:t>Calculation of risk ratings per subject area section</w:t>
      </w:r>
    </w:p>
    <w:p w14:paraId="09F1948F" w14:textId="77777777" w:rsidR="004463E3" w:rsidRDefault="00190C9A">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 xml:space="preserve">For each individual subject area, as well as the overall rating, the risk points are totaled together to provide a score that then fits within one of the bandings for the risk ratings. The banding calculation method is that a low risk rating will be assigned to any sections or overall rating where the risk score is less than or equal to the lowest possible score (based on the number of applicable questions), plus 15% of the difference between the minimum and maximum possible scores. Moderate ratings are given on the same basis, but from more than 15% up to 30% of the range, then significant up to 50%, and anything over 50% is high risk. An example is set out in Note 1, below. </w:t>
      </w:r>
    </w:p>
    <w:p w14:paraId="13DCDFCF" w14:textId="77777777" w:rsidR="004463E3" w:rsidRDefault="00190C9A">
      <w:p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b/>
          <w:sz w:val="22"/>
          <w:szCs w:val="22"/>
        </w:rPr>
        <w:t>Note 1 – Method of assigning risk ratings to risk scores</w:t>
      </w:r>
    </w:p>
    <w:p w14:paraId="1B82C1F9" w14:textId="77777777" w:rsidR="004463E3" w:rsidRDefault="00190C9A">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sz w:val="22"/>
          <w:szCs w:val="22"/>
        </w:rPr>
        <w:t>As per paragraph 5, key questions are assigned double the risk points if the answer is other than “low” risk. Therefore, the risk rating assigned to the key questions has twice the weight in determining the risk rating for the section.</w:t>
      </w:r>
    </w:p>
    <w:p w14:paraId="025822A9" w14:textId="77777777" w:rsidR="004463E3" w:rsidRDefault="00190C9A">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The Excel spreadsheet automatically assigns the risk rating by using the following algorithm:</w:t>
      </w:r>
    </w:p>
    <w:p w14:paraId="0A365F86" w14:textId="77777777" w:rsidR="004463E3" w:rsidRDefault="00190C9A">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sz w:val="22"/>
          <w:szCs w:val="22"/>
        </w:rPr>
        <w:t>Only the applicable questions are taken into consideration</w:t>
      </w:r>
    </w:p>
    <w:p w14:paraId="62FB5F03" w14:textId="77777777" w:rsidR="004463E3" w:rsidRDefault="00190C9A">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sz w:val="22"/>
          <w:szCs w:val="22"/>
        </w:rPr>
        <w:t>The minimum possible points for the subject area are calculated, that is, if all questions are assigned low risk rating</w:t>
      </w:r>
    </w:p>
    <w:p w14:paraId="6078E3EC" w14:textId="77777777" w:rsidR="004463E3" w:rsidRDefault="00190C9A">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sz w:val="22"/>
          <w:szCs w:val="22"/>
        </w:rPr>
        <w:t>The maximum possible points for the subject area are calculated, that is, if all questions are assigned high risk rating</w:t>
      </w:r>
    </w:p>
    <w:p w14:paraId="18CCD098" w14:textId="77777777" w:rsidR="004463E3" w:rsidRDefault="00190C9A">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sz w:val="22"/>
          <w:szCs w:val="22"/>
        </w:rPr>
        <w:t>The ranges for each risk rating banding are set out below:</w:t>
      </w:r>
    </w:p>
    <w:tbl>
      <w:tblPr>
        <w:tblW w:w="821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9"/>
        <w:gridCol w:w="6663"/>
      </w:tblGrid>
      <w:tr w:rsidR="004463E3" w14:paraId="5B0EB887" w14:textId="77777777">
        <w:tc>
          <w:tcPr>
            <w:tcW w:w="1549" w:type="dxa"/>
          </w:tcPr>
          <w:p w14:paraId="046B145D" w14:textId="77777777" w:rsidR="004463E3" w:rsidRDefault="00190C9A">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Low risk</w:t>
            </w:r>
          </w:p>
        </w:tc>
        <w:tc>
          <w:tcPr>
            <w:tcW w:w="6663" w:type="dxa"/>
          </w:tcPr>
          <w:p w14:paraId="1AF8EFA8" w14:textId="77777777" w:rsidR="004463E3" w:rsidRDefault="00190C9A">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Minimum possible score plus 15% of the remaining available risk points</w:t>
            </w:r>
          </w:p>
        </w:tc>
      </w:tr>
      <w:tr w:rsidR="004463E3" w14:paraId="02D34ABB" w14:textId="77777777">
        <w:tc>
          <w:tcPr>
            <w:tcW w:w="1549" w:type="dxa"/>
          </w:tcPr>
          <w:p w14:paraId="5EC9EB3B" w14:textId="77777777" w:rsidR="004463E3" w:rsidRDefault="00190C9A">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Moderate risk</w:t>
            </w:r>
          </w:p>
        </w:tc>
        <w:tc>
          <w:tcPr>
            <w:tcW w:w="6663" w:type="dxa"/>
          </w:tcPr>
          <w:p w14:paraId="03522E9F" w14:textId="77777777" w:rsidR="004463E3" w:rsidRDefault="00190C9A">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Minimum possible score plus 30% of the remaining available risk points</w:t>
            </w:r>
          </w:p>
        </w:tc>
      </w:tr>
      <w:tr w:rsidR="004463E3" w14:paraId="1686C4BC" w14:textId="77777777">
        <w:tc>
          <w:tcPr>
            <w:tcW w:w="1549" w:type="dxa"/>
          </w:tcPr>
          <w:p w14:paraId="7EE6878D" w14:textId="77777777" w:rsidR="004463E3" w:rsidRDefault="00190C9A">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Significant risk</w:t>
            </w:r>
          </w:p>
        </w:tc>
        <w:tc>
          <w:tcPr>
            <w:tcW w:w="6663" w:type="dxa"/>
          </w:tcPr>
          <w:p w14:paraId="6CEB3615" w14:textId="77777777" w:rsidR="004463E3" w:rsidRDefault="00190C9A">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Minimum possible score plus 50% of the remaining available risk points</w:t>
            </w:r>
          </w:p>
        </w:tc>
      </w:tr>
      <w:tr w:rsidR="004463E3" w14:paraId="0A36A316" w14:textId="77777777">
        <w:tc>
          <w:tcPr>
            <w:tcW w:w="1549" w:type="dxa"/>
          </w:tcPr>
          <w:p w14:paraId="4B361293" w14:textId="77777777" w:rsidR="004463E3" w:rsidRDefault="00190C9A">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High risk</w:t>
            </w:r>
          </w:p>
        </w:tc>
        <w:tc>
          <w:tcPr>
            <w:tcW w:w="6663" w:type="dxa"/>
          </w:tcPr>
          <w:p w14:paraId="747366AB" w14:textId="77777777" w:rsidR="004463E3" w:rsidRDefault="00190C9A">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Anything greater than 50% of the remaining available risk points</w:t>
            </w:r>
          </w:p>
        </w:tc>
      </w:tr>
    </w:tbl>
    <w:p w14:paraId="6D1B4B4C" w14:textId="77777777" w:rsidR="004463E3" w:rsidRDefault="00190C9A">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sz w:val="22"/>
          <w:szCs w:val="22"/>
        </w:rPr>
        <w:t>The actual risk points are matched with one of the four risk ranges to determine the overall risk category.</w:t>
      </w:r>
    </w:p>
    <w:p w14:paraId="4B248750" w14:textId="77777777" w:rsidR="004463E3" w:rsidRDefault="00190C9A">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sz w:val="22"/>
          <w:szCs w:val="22"/>
        </w:rPr>
        <w:t>The same algorithm is applied when calculated the overall risk rating for the IP.</w:t>
      </w:r>
    </w:p>
    <w:p w14:paraId="5367E6B2" w14:textId="77777777" w:rsidR="004463E3" w:rsidRDefault="00190C9A">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sz w:val="22"/>
          <w:szCs w:val="22"/>
        </w:rPr>
        <w:t>Assume the following two scenarios with the same risk rating for the questions.</w:t>
      </w:r>
    </w:p>
    <w:p w14:paraId="540A2450" w14:textId="77777777" w:rsidR="004463E3" w:rsidRDefault="00190C9A">
      <w:pPr>
        <w:numPr>
          <w:ilvl w:val="0"/>
          <w:numId w:val="7"/>
        </w:num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sz w:val="22"/>
          <w:szCs w:val="22"/>
        </w:rPr>
        <w:t>Scenario 1: There are four non-key questions having equal weight</w:t>
      </w:r>
    </w:p>
    <w:p w14:paraId="241FEF40" w14:textId="77777777" w:rsidR="004463E3" w:rsidRDefault="00190C9A">
      <w:pPr>
        <w:numPr>
          <w:ilvl w:val="0"/>
          <w:numId w:val="7"/>
        </w:num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sz w:val="22"/>
          <w:szCs w:val="22"/>
        </w:rPr>
        <w:t>Scenario 2: The first question is key and the remaining three questions are non-key</w:t>
      </w:r>
    </w:p>
    <w:tbl>
      <w:tblPr>
        <w:tblW w:w="10800" w:type="dxa"/>
        <w:tblInd w:w="-891" w:type="dxa"/>
        <w:tblLayout w:type="fixed"/>
        <w:tblCellMar>
          <w:left w:w="115" w:type="dxa"/>
          <w:right w:w="115" w:type="dxa"/>
        </w:tblCellMar>
        <w:tblLook w:val="0400" w:firstRow="0" w:lastRow="0" w:firstColumn="0" w:lastColumn="0" w:noHBand="0" w:noVBand="1"/>
      </w:tblPr>
      <w:tblGrid>
        <w:gridCol w:w="2269"/>
        <w:gridCol w:w="1811"/>
        <w:gridCol w:w="1155"/>
        <w:gridCol w:w="250"/>
        <w:gridCol w:w="2348"/>
        <w:gridCol w:w="1812"/>
        <w:gridCol w:w="1155"/>
      </w:tblGrid>
      <w:tr w:rsidR="004463E3" w14:paraId="735824C5" w14:textId="77777777">
        <w:trPr>
          <w:trHeight w:val="240"/>
        </w:trPr>
        <w:tc>
          <w:tcPr>
            <w:tcW w:w="2275" w:type="dxa"/>
            <w:tcBorders>
              <w:top w:val="single" w:sz="4" w:space="0" w:color="000000"/>
              <w:left w:val="single" w:sz="4" w:space="0" w:color="000000"/>
              <w:bottom w:val="single" w:sz="4" w:space="0" w:color="000000"/>
              <w:right w:val="single" w:sz="4" w:space="0" w:color="000000"/>
            </w:tcBorders>
            <w:shd w:val="clear" w:color="auto" w:fill="D9D9D9"/>
          </w:tcPr>
          <w:p w14:paraId="782A2A16" w14:textId="77777777" w:rsidR="004463E3" w:rsidRDefault="00190C9A">
            <w:pPr>
              <w:spacing w:after="0"/>
              <w:rPr>
                <w:rFonts w:ascii="Calibri" w:eastAsia="Calibri" w:hAnsi="Calibri" w:cs="Calibri"/>
                <w:b/>
                <w:sz w:val="18"/>
                <w:szCs w:val="18"/>
              </w:rPr>
            </w:pPr>
            <w:r>
              <w:rPr>
                <w:rFonts w:ascii="Calibri" w:eastAsia="Calibri" w:hAnsi="Calibri" w:cs="Calibri"/>
                <w:b/>
                <w:sz w:val="18"/>
                <w:szCs w:val="18"/>
              </w:rPr>
              <w:t>Scenario 1</w:t>
            </w:r>
          </w:p>
        </w:tc>
        <w:tc>
          <w:tcPr>
            <w:tcW w:w="1816" w:type="dxa"/>
            <w:tcBorders>
              <w:top w:val="single" w:sz="4" w:space="0" w:color="000000"/>
              <w:left w:val="nil"/>
              <w:bottom w:val="single" w:sz="4" w:space="0" w:color="000000"/>
              <w:right w:val="single" w:sz="4" w:space="0" w:color="000000"/>
            </w:tcBorders>
            <w:shd w:val="clear" w:color="auto" w:fill="D9D9D9"/>
          </w:tcPr>
          <w:p w14:paraId="049D84E8" w14:textId="77777777" w:rsidR="004463E3" w:rsidRDefault="00190C9A">
            <w:pPr>
              <w:spacing w:after="0"/>
              <w:jc w:val="center"/>
              <w:rPr>
                <w:rFonts w:ascii="Calibri" w:eastAsia="Calibri" w:hAnsi="Calibri" w:cs="Calibri"/>
                <w:b/>
                <w:sz w:val="18"/>
                <w:szCs w:val="18"/>
              </w:rPr>
            </w:pPr>
            <w:r>
              <w:rPr>
                <w:rFonts w:ascii="Calibri" w:eastAsia="Calibri" w:hAnsi="Calibri" w:cs="Calibri"/>
                <w:b/>
                <w:sz w:val="18"/>
                <w:szCs w:val="18"/>
              </w:rPr>
              <w:t>Risk Rating</w:t>
            </w:r>
          </w:p>
        </w:tc>
        <w:tc>
          <w:tcPr>
            <w:tcW w:w="1158" w:type="dxa"/>
            <w:tcBorders>
              <w:top w:val="single" w:sz="4" w:space="0" w:color="000000"/>
              <w:left w:val="nil"/>
              <w:bottom w:val="single" w:sz="4" w:space="0" w:color="000000"/>
              <w:right w:val="single" w:sz="4" w:space="0" w:color="000000"/>
            </w:tcBorders>
            <w:shd w:val="clear" w:color="auto" w:fill="D9D9D9"/>
          </w:tcPr>
          <w:p w14:paraId="2A0075F3" w14:textId="77777777" w:rsidR="004463E3" w:rsidRDefault="00190C9A">
            <w:pPr>
              <w:spacing w:after="0"/>
              <w:jc w:val="center"/>
              <w:rPr>
                <w:rFonts w:ascii="Calibri" w:eastAsia="Calibri" w:hAnsi="Calibri" w:cs="Calibri"/>
                <w:b/>
                <w:sz w:val="18"/>
                <w:szCs w:val="18"/>
              </w:rPr>
            </w:pPr>
            <w:r>
              <w:rPr>
                <w:rFonts w:ascii="Calibri" w:eastAsia="Calibri" w:hAnsi="Calibri" w:cs="Calibri"/>
                <w:b/>
                <w:sz w:val="18"/>
                <w:szCs w:val="18"/>
              </w:rPr>
              <w:t>Points</w:t>
            </w:r>
          </w:p>
        </w:tc>
        <w:tc>
          <w:tcPr>
            <w:tcW w:w="222" w:type="dxa"/>
            <w:tcBorders>
              <w:top w:val="nil"/>
              <w:left w:val="nil"/>
              <w:bottom w:val="nil"/>
              <w:right w:val="nil"/>
            </w:tcBorders>
            <w:shd w:val="clear" w:color="auto" w:fill="auto"/>
          </w:tcPr>
          <w:p w14:paraId="6EB9B18F" w14:textId="77777777" w:rsidR="004463E3" w:rsidRDefault="004463E3">
            <w:pPr>
              <w:spacing w:after="0"/>
              <w:jc w:val="center"/>
              <w:rPr>
                <w:rFonts w:ascii="Calibri" w:eastAsia="Calibri" w:hAnsi="Calibri" w:cs="Calibri"/>
                <w:b/>
                <w:sz w:val="18"/>
                <w:szCs w:val="18"/>
              </w:rPr>
            </w:pPr>
          </w:p>
        </w:tc>
        <w:tc>
          <w:tcPr>
            <w:tcW w:w="2354" w:type="dxa"/>
            <w:tcBorders>
              <w:top w:val="single" w:sz="4" w:space="0" w:color="000000"/>
              <w:left w:val="single" w:sz="4" w:space="0" w:color="000000"/>
              <w:bottom w:val="single" w:sz="4" w:space="0" w:color="000000"/>
              <w:right w:val="single" w:sz="4" w:space="0" w:color="000000"/>
            </w:tcBorders>
            <w:shd w:val="clear" w:color="auto" w:fill="D9D9D9"/>
          </w:tcPr>
          <w:p w14:paraId="64DDA353" w14:textId="77777777" w:rsidR="004463E3" w:rsidRDefault="00190C9A">
            <w:pPr>
              <w:spacing w:after="0"/>
              <w:rPr>
                <w:rFonts w:ascii="Calibri" w:eastAsia="Calibri" w:hAnsi="Calibri" w:cs="Calibri"/>
                <w:b/>
                <w:sz w:val="18"/>
                <w:szCs w:val="18"/>
              </w:rPr>
            </w:pPr>
            <w:r>
              <w:rPr>
                <w:rFonts w:ascii="Calibri" w:eastAsia="Calibri" w:hAnsi="Calibri" w:cs="Calibri"/>
                <w:b/>
                <w:sz w:val="18"/>
                <w:szCs w:val="18"/>
              </w:rPr>
              <w:t>Scenario 2</w:t>
            </w:r>
          </w:p>
        </w:tc>
        <w:tc>
          <w:tcPr>
            <w:tcW w:w="1817" w:type="dxa"/>
            <w:tcBorders>
              <w:top w:val="single" w:sz="4" w:space="0" w:color="000000"/>
              <w:left w:val="nil"/>
              <w:bottom w:val="single" w:sz="4" w:space="0" w:color="000000"/>
              <w:right w:val="single" w:sz="4" w:space="0" w:color="000000"/>
            </w:tcBorders>
            <w:shd w:val="clear" w:color="auto" w:fill="D9D9D9"/>
          </w:tcPr>
          <w:p w14:paraId="25CF820B" w14:textId="77777777" w:rsidR="004463E3" w:rsidRDefault="00190C9A">
            <w:pPr>
              <w:spacing w:after="0"/>
              <w:jc w:val="center"/>
              <w:rPr>
                <w:rFonts w:ascii="Calibri" w:eastAsia="Calibri" w:hAnsi="Calibri" w:cs="Calibri"/>
                <w:b/>
                <w:sz w:val="18"/>
                <w:szCs w:val="18"/>
              </w:rPr>
            </w:pPr>
            <w:r>
              <w:rPr>
                <w:rFonts w:ascii="Calibri" w:eastAsia="Calibri" w:hAnsi="Calibri" w:cs="Calibri"/>
                <w:b/>
                <w:sz w:val="18"/>
                <w:szCs w:val="18"/>
              </w:rPr>
              <w:t>Risk Rating</w:t>
            </w:r>
          </w:p>
        </w:tc>
        <w:tc>
          <w:tcPr>
            <w:tcW w:w="1158" w:type="dxa"/>
            <w:tcBorders>
              <w:top w:val="single" w:sz="4" w:space="0" w:color="000000"/>
              <w:left w:val="nil"/>
              <w:bottom w:val="single" w:sz="4" w:space="0" w:color="000000"/>
              <w:right w:val="single" w:sz="4" w:space="0" w:color="000000"/>
            </w:tcBorders>
            <w:shd w:val="clear" w:color="auto" w:fill="D9D9D9"/>
          </w:tcPr>
          <w:p w14:paraId="24BCA023" w14:textId="77777777" w:rsidR="004463E3" w:rsidRDefault="00190C9A">
            <w:pPr>
              <w:spacing w:after="0"/>
              <w:jc w:val="center"/>
              <w:rPr>
                <w:rFonts w:ascii="Calibri" w:eastAsia="Calibri" w:hAnsi="Calibri" w:cs="Calibri"/>
                <w:b/>
                <w:sz w:val="18"/>
                <w:szCs w:val="18"/>
              </w:rPr>
            </w:pPr>
            <w:r>
              <w:rPr>
                <w:rFonts w:ascii="Calibri" w:eastAsia="Calibri" w:hAnsi="Calibri" w:cs="Calibri"/>
                <w:b/>
                <w:sz w:val="18"/>
                <w:szCs w:val="18"/>
              </w:rPr>
              <w:t>Points</w:t>
            </w:r>
          </w:p>
        </w:tc>
      </w:tr>
      <w:tr w:rsidR="004463E3" w14:paraId="19F8AB6A"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17879367"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Question 1</w:t>
            </w:r>
          </w:p>
        </w:tc>
        <w:tc>
          <w:tcPr>
            <w:tcW w:w="1816" w:type="dxa"/>
            <w:tcBorders>
              <w:top w:val="nil"/>
              <w:left w:val="nil"/>
              <w:bottom w:val="single" w:sz="4" w:space="0" w:color="000000"/>
              <w:right w:val="single" w:sz="4" w:space="0" w:color="000000"/>
            </w:tcBorders>
            <w:shd w:val="clear" w:color="auto" w:fill="auto"/>
          </w:tcPr>
          <w:p w14:paraId="472E9761"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Significant</w:t>
            </w:r>
          </w:p>
        </w:tc>
        <w:tc>
          <w:tcPr>
            <w:tcW w:w="1158" w:type="dxa"/>
            <w:tcBorders>
              <w:top w:val="nil"/>
              <w:left w:val="nil"/>
              <w:bottom w:val="single" w:sz="4" w:space="0" w:color="000000"/>
              <w:right w:val="single" w:sz="4" w:space="0" w:color="000000"/>
            </w:tcBorders>
            <w:shd w:val="clear" w:color="auto" w:fill="auto"/>
          </w:tcPr>
          <w:p w14:paraId="61725095"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3</w:t>
            </w:r>
          </w:p>
        </w:tc>
        <w:tc>
          <w:tcPr>
            <w:tcW w:w="222" w:type="dxa"/>
            <w:tcBorders>
              <w:top w:val="nil"/>
              <w:left w:val="nil"/>
              <w:bottom w:val="nil"/>
              <w:right w:val="nil"/>
            </w:tcBorders>
            <w:shd w:val="clear" w:color="auto" w:fill="auto"/>
          </w:tcPr>
          <w:p w14:paraId="798A56FE"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B383992"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Key question 1</w:t>
            </w:r>
          </w:p>
        </w:tc>
        <w:tc>
          <w:tcPr>
            <w:tcW w:w="1817" w:type="dxa"/>
            <w:tcBorders>
              <w:top w:val="nil"/>
              <w:left w:val="nil"/>
              <w:bottom w:val="single" w:sz="4" w:space="0" w:color="000000"/>
              <w:right w:val="single" w:sz="4" w:space="0" w:color="000000"/>
            </w:tcBorders>
            <w:shd w:val="clear" w:color="auto" w:fill="auto"/>
          </w:tcPr>
          <w:p w14:paraId="47057413"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Significant</w:t>
            </w:r>
          </w:p>
        </w:tc>
        <w:tc>
          <w:tcPr>
            <w:tcW w:w="1158" w:type="dxa"/>
            <w:tcBorders>
              <w:top w:val="nil"/>
              <w:left w:val="nil"/>
              <w:bottom w:val="single" w:sz="4" w:space="0" w:color="000000"/>
              <w:right w:val="single" w:sz="4" w:space="0" w:color="000000"/>
            </w:tcBorders>
            <w:shd w:val="clear" w:color="auto" w:fill="auto"/>
          </w:tcPr>
          <w:p w14:paraId="3742D52B"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6</w:t>
            </w:r>
          </w:p>
        </w:tc>
      </w:tr>
      <w:tr w:rsidR="004463E3" w14:paraId="474A7C5F"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73D4BE59"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Question 2</w:t>
            </w:r>
          </w:p>
        </w:tc>
        <w:tc>
          <w:tcPr>
            <w:tcW w:w="1816" w:type="dxa"/>
            <w:tcBorders>
              <w:top w:val="nil"/>
              <w:left w:val="nil"/>
              <w:bottom w:val="single" w:sz="4" w:space="0" w:color="000000"/>
              <w:right w:val="single" w:sz="4" w:space="0" w:color="000000"/>
            </w:tcBorders>
            <w:shd w:val="clear" w:color="auto" w:fill="auto"/>
          </w:tcPr>
          <w:p w14:paraId="4397490E"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Moderate</w:t>
            </w:r>
          </w:p>
        </w:tc>
        <w:tc>
          <w:tcPr>
            <w:tcW w:w="1158" w:type="dxa"/>
            <w:tcBorders>
              <w:top w:val="nil"/>
              <w:left w:val="nil"/>
              <w:bottom w:val="single" w:sz="4" w:space="0" w:color="000000"/>
              <w:right w:val="single" w:sz="4" w:space="0" w:color="000000"/>
            </w:tcBorders>
            <w:shd w:val="clear" w:color="auto" w:fill="auto"/>
          </w:tcPr>
          <w:p w14:paraId="1DDA6725"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2</w:t>
            </w:r>
          </w:p>
        </w:tc>
        <w:tc>
          <w:tcPr>
            <w:tcW w:w="222" w:type="dxa"/>
            <w:tcBorders>
              <w:top w:val="nil"/>
              <w:left w:val="nil"/>
              <w:bottom w:val="nil"/>
              <w:right w:val="nil"/>
            </w:tcBorders>
            <w:shd w:val="clear" w:color="auto" w:fill="auto"/>
          </w:tcPr>
          <w:p w14:paraId="5EB3ADBD"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2E1D0773"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Question 2</w:t>
            </w:r>
          </w:p>
        </w:tc>
        <w:tc>
          <w:tcPr>
            <w:tcW w:w="1817" w:type="dxa"/>
            <w:tcBorders>
              <w:top w:val="nil"/>
              <w:left w:val="nil"/>
              <w:bottom w:val="single" w:sz="4" w:space="0" w:color="000000"/>
              <w:right w:val="single" w:sz="4" w:space="0" w:color="000000"/>
            </w:tcBorders>
            <w:shd w:val="clear" w:color="auto" w:fill="auto"/>
          </w:tcPr>
          <w:p w14:paraId="2AB38DD0"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Moderate</w:t>
            </w:r>
          </w:p>
        </w:tc>
        <w:tc>
          <w:tcPr>
            <w:tcW w:w="1158" w:type="dxa"/>
            <w:tcBorders>
              <w:top w:val="nil"/>
              <w:left w:val="nil"/>
              <w:bottom w:val="single" w:sz="4" w:space="0" w:color="000000"/>
              <w:right w:val="single" w:sz="4" w:space="0" w:color="000000"/>
            </w:tcBorders>
            <w:shd w:val="clear" w:color="auto" w:fill="auto"/>
          </w:tcPr>
          <w:p w14:paraId="45541F88"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2</w:t>
            </w:r>
          </w:p>
        </w:tc>
      </w:tr>
      <w:tr w:rsidR="004463E3" w14:paraId="256B8C40"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0F922BCC"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Question 3</w:t>
            </w:r>
          </w:p>
        </w:tc>
        <w:tc>
          <w:tcPr>
            <w:tcW w:w="1816" w:type="dxa"/>
            <w:tcBorders>
              <w:top w:val="nil"/>
              <w:left w:val="nil"/>
              <w:bottom w:val="single" w:sz="4" w:space="0" w:color="000000"/>
              <w:right w:val="single" w:sz="4" w:space="0" w:color="000000"/>
            </w:tcBorders>
            <w:shd w:val="clear" w:color="auto" w:fill="auto"/>
          </w:tcPr>
          <w:p w14:paraId="75A6D812"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Low</w:t>
            </w:r>
          </w:p>
        </w:tc>
        <w:tc>
          <w:tcPr>
            <w:tcW w:w="1158" w:type="dxa"/>
            <w:tcBorders>
              <w:top w:val="nil"/>
              <w:left w:val="nil"/>
              <w:bottom w:val="single" w:sz="4" w:space="0" w:color="000000"/>
              <w:right w:val="single" w:sz="4" w:space="0" w:color="000000"/>
            </w:tcBorders>
            <w:shd w:val="clear" w:color="auto" w:fill="auto"/>
          </w:tcPr>
          <w:p w14:paraId="1CBC15C4"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1</w:t>
            </w:r>
          </w:p>
        </w:tc>
        <w:tc>
          <w:tcPr>
            <w:tcW w:w="222" w:type="dxa"/>
            <w:tcBorders>
              <w:top w:val="nil"/>
              <w:left w:val="nil"/>
              <w:bottom w:val="nil"/>
              <w:right w:val="nil"/>
            </w:tcBorders>
            <w:shd w:val="clear" w:color="auto" w:fill="auto"/>
          </w:tcPr>
          <w:p w14:paraId="769BB0FA"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DE1708A"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Question 3</w:t>
            </w:r>
          </w:p>
        </w:tc>
        <w:tc>
          <w:tcPr>
            <w:tcW w:w="1817" w:type="dxa"/>
            <w:tcBorders>
              <w:top w:val="nil"/>
              <w:left w:val="nil"/>
              <w:bottom w:val="single" w:sz="4" w:space="0" w:color="000000"/>
              <w:right w:val="single" w:sz="4" w:space="0" w:color="000000"/>
            </w:tcBorders>
            <w:shd w:val="clear" w:color="auto" w:fill="auto"/>
          </w:tcPr>
          <w:p w14:paraId="5CA73293"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Low</w:t>
            </w:r>
          </w:p>
        </w:tc>
        <w:tc>
          <w:tcPr>
            <w:tcW w:w="1158" w:type="dxa"/>
            <w:tcBorders>
              <w:top w:val="nil"/>
              <w:left w:val="nil"/>
              <w:bottom w:val="single" w:sz="4" w:space="0" w:color="000000"/>
              <w:right w:val="single" w:sz="4" w:space="0" w:color="000000"/>
            </w:tcBorders>
            <w:shd w:val="clear" w:color="auto" w:fill="auto"/>
          </w:tcPr>
          <w:p w14:paraId="154C2671"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1</w:t>
            </w:r>
          </w:p>
        </w:tc>
      </w:tr>
      <w:tr w:rsidR="004463E3" w14:paraId="2E8C2AAA"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29F04CDE"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Question 4</w:t>
            </w:r>
          </w:p>
        </w:tc>
        <w:tc>
          <w:tcPr>
            <w:tcW w:w="1816" w:type="dxa"/>
            <w:tcBorders>
              <w:top w:val="nil"/>
              <w:left w:val="nil"/>
              <w:bottom w:val="single" w:sz="4" w:space="0" w:color="000000"/>
              <w:right w:val="single" w:sz="4" w:space="0" w:color="000000"/>
            </w:tcBorders>
            <w:shd w:val="clear" w:color="auto" w:fill="auto"/>
          </w:tcPr>
          <w:p w14:paraId="02C19D6B"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Low</w:t>
            </w:r>
          </w:p>
        </w:tc>
        <w:tc>
          <w:tcPr>
            <w:tcW w:w="1158" w:type="dxa"/>
            <w:tcBorders>
              <w:top w:val="nil"/>
              <w:left w:val="nil"/>
              <w:bottom w:val="single" w:sz="4" w:space="0" w:color="000000"/>
              <w:right w:val="single" w:sz="4" w:space="0" w:color="000000"/>
            </w:tcBorders>
            <w:shd w:val="clear" w:color="auto" w:fill="auto"/>
          </w:tcPr>
          <w:p w14:paraId="58C0D142"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1</w:t>
            </w:r>
          </w:p>
        </w:tc>
        <w:tc>
          <w:tcPr>
            <w:tcW w:w="222" w:type="dxa"/>
            <w:tcBorders>
              <w:top w:val="nil"/>
              <w:left w:val="nil"/>
              <w:bottom w:val="nil"/>
              <w:right w:val="nil"/>
            </w:tcBorders>
            <w:shd w:val="clear" w:color="auto" w:fill="auto"/>
          </w:tcPr>
          <w:p w14:paraId="7828C471"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F05105F"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Question 4</w:t>
            </w:r>
          </w:p>
        </w:tc>
        <w:tc>
          <w:tcPr>
            <w:tcW w:w="1817" w:type="dxa"/>
            <w:tcBorders>
              <w:top w:val="nil"/>
              <w:left w:val="nil"/>
              <w:bottom w:val="single" w:sz="4" w:space="0" w:color="000000"/>
              <w:right w:val="single" w:sz="4" w:space="0" w:color="000000"/>
            </w:tcBorders>
            <w:shd w:val="clear" w:color="auto" w:fill="auto"/>
          </w:tcPr>
          <w:p w14:paraId="1051E6F4"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Low</w:t>
            </w:r>
          </w:p>
        </w:tc>
        <w:tc>
          <w:tcPr>
            <w:tcW w:w="1158" w:type="dxa"/>
            <w:tcBorders>
              <w:top w:val="nil"/>
              <w:left w:val="nil"/>
              <w:bottom w:val="single" w:sz="4" w:space="0" w:color="000000"/>
              <w:right w:val="single" w:sz="4" w:space="0" w:color="000000"/>
            </w:tcBorders>
            <w:shd w:val="clear" w:color="auto" w:fill="auto"/>
          </w:tcPr>
          <w:p w14:paraId="3115DB55"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1</w:t>
            </w:r>
          </w:p>
        </w:tc>
      </w:tr>
      <w:tr w:rsidR="004463E3" w14:paraId="20ECFBCD"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524D8CFB"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Total Risk Points:</w:t>
            </w:r>
          </w:p>
        </w:tc>
        <w:tc>
          <w:tcPr>
            <w:tcW w:w="1816" w:type="dxa"/>
            <w:tcBorders>
              <w:top w:val="nil"/>
              <w:left w:val="nil"/>
              <w:bottom w:val="single" w:sz="4" w:space="0" w:color="000000"/>
              <w:right w:val="single" w:sz="4" w:space="0" w:color="000000"/>
            </w:tcBorders>
            <w:shd w:val="clear" w:color="auto" w:fill="auto"/>
          </w:tcPr>
          <w:p w14:paraId="04264F21"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w:t>
            </w:r>
          </w:p>
        </w:tc>
        <w:tc>
          <w:tcPr>
            <w:tcW w:w="1158" w:type="dxa"/>
            <w:tcBorders>
              <w:top w:val="nil"/>
              <w:left w:val="nil"/>
              <w:bottom w:val="single" w:sz="4" w:space="0" w:color="000000"/>
              <w:right w:val="single" w:sz="4" w:space="0" w:color="000000"/>
            </w:tcBorders>
            <w:shd w:val="clear" w:color="auto" w:fill="auto"/>
          </w:tcPr>
          <w:p w14:paraId="4CB66593"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7</w:t>
            </w:r>
          </w:p>
        </w:tc>
        <w:tc>
          <w:tcPr>
            <w:tcW w:w="222" w:type="dxa"/>
            <w:tcBorders>
              <w:top w:val="nil"/>
              <w:left w:val="nil"/>
              <w:bottom w:val="nil"/>
              <w:right w:val="nil"/>
            </w:tcBorders>
            <w:shd w:val="clear" w:color="auto" w:fill="auto"/>
          </w:tcPr>
          <w:p w14:paraId="0C63A846"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663B402C"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Total Risk Points:</w:t>
            </w:r>
          </w:p>
        </w:tc>
        <w:tc>
          <w:tcPr>
            <w:tcW w:w="1817" w:type="dxa"/>
            <w:tcBorders>
              <w:top w:val="nil"/>
              <w:left w:val="nil"/>
              <w:bottom w:val="single" w:sz="4" w:space="0" w:color="000000"/>
              <w:right w:val="single" w:sz="4" w:space="0" w:color="000000"/>
            </w:tcBorders>
            <w:shd w:val="clear" w:color="auto" w:fill="auto"/>
          </w:tcPr>
          <w:p w14:paraId="0A19C169"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w:t>
            </w:r>
          </w:p>
        </w:tc>
        <w:tc>
          <w:tcPr>
            <w:tcW w:w="1158" w:type="dxa"/>
            <w:tcBorders>
              <w:top w:val="nil"/>
              <w:left w:val="nil"/>
              <w:bottom w:val="single" w:sz="4" w:space="0" w:color="000000"/>
              <w:right w:val="single" w:sz="4" w:space="0" w:color="000000"/>
            </w:tcBorders>
            <w:shd w:val="clear" w:color="auto" w:fill="auto"/>
          </w:tcPr>
          <w:p w14:paraId="191DA26D"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10</w:t>
            </w:r>
          </w:p>
        </w:tc>
      </w:tr>
      <w:tr w:rsidR="004463E3" w14:paraId="28F8D4A9"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3E84B6E6"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Min score</w:t>
            </w:r>
          </w:p>
        </w:tc>
        <w:tc>
          <w:tcPr>
            <w:tcW w:w="1816" w:type="dxa"/>
            <w:tcBorders>
              <w:top w:val="nil"/>
              <w:left w:val="nil"/>
              <w:bottom w:val="single" w:sz="4" w:space="0" w:color="000000"/>
              <w:right w:val="single" w:sz="4" w:space="0" w:color="000000"/>
            </w:tcBorders>
            <w:shd w:val="clear" w:color="auto" w:fill="auto"/>
          </w:tcPr>
          <w:p w14:paraId="04695DB7"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4 * 1</w:t>
            </w:r>
          </w:p>
        </w:tc>
        <w:tc>
          <w:tcPr>
            <w:tcW w:w="1158" w:type="dxa"/>
            <w:tcBorders>
              <w:top w:val="nil"/>
              <w:left w:val="nil"/>
              <w:bottom w:val="single" w:sz="4" w:space="0" w:color="000000"/>
              <w:right w:val="single" w:sz="4" w:space="0" w:color="000000"/>
            </w:tcBorders>
            <w:shd w:val="clear" w:color="auto" w:fill="auto"/>
          </w:tcPr>
          <w:p w14:paraId="593CE5E2"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4</w:t>
            </w:r>
          </w:p>
        </w:tc>
        <w:tc>
          <w:tcPr>
            <w:tcW w:w="222" w:type="dxa"/>
            <w:tcBorders>
              <w:top w:val="nil"/>
              <w:left w:val="nil"/>
              <w:bottom w:val="nil"/>
              <w:right w:val="nil"/>
            </w:tcBorders>
            <w:shd w:val="clear" w:color="auto" w:fill="auto"/>
          </w:tcPr>
          <w:p w14:paraId="104BF5FB"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D2860B8"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Min score</w:t>
            </w:r>
          </w:p>
        </w:tc>
        <w:tc>
          <w:tcPr>
            <w:tcW w:w="1817" w:type="dxa"/>
            <w:tcBorders>
              <w:top w:val="nil"/>
              <w:left w:val="nil"/>
              <w:bottom w:val="single" w:sz="4" w:space="0" w:color="000000"/>
              <w:right w:val="single" w:sz="4" w:space="0" w:color="000000"/>
            </w:tcBorders>
            <w:shd w:val="clear" w:color="auto" w:fill="auto"/>
          </w:tcPr>
          <w:p w14:paraId="21135813"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4 * 1</w:t>
            </w:r>
          </w:p>
        </w:tc>
        <w:tc>
          <w:tcPr>
            <w:tcW w:w="1158" w:type="dxa"/>
            <w:tcBorders>
              <w:top w:val="nil"/>
              <w:left w:val="nil"/>
              <w:bottom w:val="single" w:sz="4" w:space="0" w:color="000000"/>
              <w:right w:val="single" w:sz="4" w:space="0" w:color="000000"/>
            </w:tcBorders>
            <w:shd w:val="clear" w:color="auto" w:fill="auto"/>
          </w:tcPr>
          <w:p w14:paraId="7E269396"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4</w:t>
            </w:r>
          </w:p>
        </w:tc>
      </w:tr>
      <w:tr w:rsidR="004463E3" w14:paraId="6015AB3B"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6D0311E9"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Max score</w:t>
            </w:r>
          </w:p>
        </w:tc>
        <w:tc>
          <w:tcPr>
            <w:tcW w:w="1816" w:type="dxa"/>
            <w:tcBorders>
              <w:top w:val="nil"/>
              <w:left w:val="nil"/>
              <w:bottom w:val="single" w:sz="4" w:space="0" w:color="000000"/>
              <w:right w:val="single" w:sz="4" w:space="0" w:color="000000"/>
            </w:tcBorders>
            <w:shd w:val="clear" w:color="auto" w:fill="auto"/>
          </w:tcPr>
          <w:p w14:paraId="29D31287"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4 * 4</w:t>
            </w:r>
          </w:p>
        </w:tc>
        <w:tc>
          <w:tcPr>
            <w:tcW w:w="1158" w:type="dxa"/>
            <w:tcBorders>
              <w:top w:val="nil"/>
              <w:left w:val="nil"/>
              <w:bottom w:val="single" w:sz="4" w:space="0" w:color="000000"/>
              <w:right w:val="single" w:sz="4" w:space="0" w:color="000000"/>
            </w:tcBorders>
            <w:shd w:val="clear" w:color="auto" w:fill="auto"/>
          </w:tcPr>
          <w:p w14:paraId="217A9AB0"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16</w:t>
            </w:r>
          </w:p>
        </w:tc>
        <w:tc>
          <w:tcPr>
            <w:tcW w:w="222" w:type="dxa"/>
            <w:tcBorders>
              <w:top w:val="nil"/>
              <w:left w:val="nil"/>
              <w:bottom w:val="nil"/>
              <w:right w:val="nil"/>
            </w:tcBorders>
            <w:shd w:val="clear" w:color="auto" w:fill="auto"/>
          </w:tcPr>
          <w:p w14:paraId="778D1D03"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7B9EFC70"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Max score</w:t>
            </w:r>
          </w:p>
        </w:tc>
        <w:tc>
          <w:tcPr>
            <w:tcW w:w="1817" w:type="dxa"/>
            <w:tcBorders>
              <w:top w:val="nil"/>
              <w:left w:val="nil"/>
              <w:bottom w:val="single" w:sz="4" w:space="0" w:color="000000"/>
              <w:right w:val="single" w:sz="4" w:space="0" w:color="000000"/>
            </w:tcBorders>
            <w:shd w:val="clear" w:color="auto" w:fill="auto"/>
          </w:tcPr>
          <w:p w14:paraId="1D475ABD"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4 * 4</w:t>
            </w:r>
          </w:p>
        </w:tc>
        <w:tc>
          <w:tcPr>
            <w:tcW w:w="1158" w:type="dxa"/>
            <w:tcBorders>
              <w:top w:val="nil"/>
              <w:left w:val="nil"/>
              <w:bottom w:val="single" w:sz="4" w:space="0" w:color="000000"/>
              <w:right w:val="single" w:sz="4" w:space="0" w:color="000000"/>
            </w:tcBorders>
            <w:shd w:val="clear" w:color="auto" w:fill="auto"/>
          </w:tcPr>
          <w:p w14:paraId="5570B67D"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16</w:t>
            </w:r>
          </w:p>
        </w:tc>
      </w:tr>
      <w:tr w:rsidR="004463E3" w14:paraId="0D5A734F"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3A56DDC3"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Low risk band (15%)</w:t>
            </w:r>
          </w:p>
        </w:tc>
        <w:tc>
          <w:tcPr>
            <w:tcW w:w="1816" w:type="dxa"/>
            <w:tcBorders>
              <w:top w:val="nil"/>
              <w:left w:val="nil"/>
              <w:bottom w:val="single" w:sz="4" w:space="0" w:color="000000"/>
              <w:right w:val="single" w:sz="4" w:space="0" w:color="000000"/>
            </w:tcBorders>
            <w:shd w:val="clear" w:color="auto" w:fill="auto"/>
          </w:tcPr>
          <w:p w14:paraId="318647D3"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4 + ((16 - 4) * 0.15)</w:t>
            </w:r>
          </w:p>
        </w:tc>
        <w:tc>
          <w:tcPr>
            <w:tcW w:w="1158" w:type="dxa"/>
            <w:tcBorders>
              <w:top w:val="nil"/>
              <w:left w:val="nil"/>
              <w:bottom w:val="single" w:sz="4" w:space="0" w:color="000000"/>
              <w:right w:val="single" w:sz="4" w:space="0" w:color="000000"/>
            </w:tcBorders>
            <w:shd w:val="clear" w:color="auto" w:fill="auto"/>
          </w:tcPr>
          <w:p w14:paraId="077E3628"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5.80</w:t>
            </w:r>
          </w:p>
        </w:tc>
        <w:tc>
          <w:tcPr>
            <w:tcW w:w="222" w:type="dxa"/>
            <w:tcBorders>
              <w:top w:val="nil"/>
              <w:left w:val="nil"/>
              <w:bottom w:val="nil"/>
              <w:right w:val="nil"/>
            </w:tcBorders>
            <w:shd w:val="clear" w:color="auto" w:fill="auto"/>
          </w:tcPr>
          <w:p w14:paraId="0FF06178"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13D7F045"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Low risk band (15%)</w:t>
            </w:r>
          </w:p>
        </w:tc>
        <w:tc>
          <w:tcPr>
            <w:tcW w:w="1817" w:type="dxa"/>
            <w:tcBorders>
              <w:top w:val="nil"/>
              <w:left w:val="nil"/>
              <w:bottom w:val="single" w:sz="4" w:space="0" w:color="000000"/>
              <w:right w:val="single" w:sz="4" w:space="0" w:color="000000"/>
            </w:tcBorders>
            <w:shd w:val="clear" w:color="auto" w:fill="auto"/>
          </w:tcPr>
          <w:p w14:paraId="5E2938F8"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4 + ((16 - 4) * 0.15)</w:t>
            </w:r>
          </w:p>
        </w:tc>
        <w:tc>
          <w:tcPr>
            <w:tcW w:w="1158" w:type="dxa"/>
            <w:tcBorders>
              <w:top w:val="nil"/>
              <w:left w:val="nil"/>
              <w:bottom w:val="single" w:sz="4" w:space="0" w:color="000000"/>
              <w:right w:val="single" w:sz="4" w:space="0" w:color="000000"/>
            </w:tcBorders>
            <w:shd w:val="clear" w:color="auto" w:fill="auto"/>
          </w:tcPr>
          <w:p w14:paraId="6E7B5AE2"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5.80</w:t>
            </w:r>
          </w:p>
        </w:tc>
      </w:tr>
      <w:tr w:rsidR="004463E3" w14:paraId="74B65B9B"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6206640E"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Moderate risk band (30%)</w:t>
            </w:r>
          </w:p>
        </w:tc>
        <w:tc>
          <w:tcPr>
            <w:tcW w:w="1816" w:type="dxa"/>
            <w:tcBorders>
              <w:top w:val="nil"/>
              <w:left w:val="nil"/>
              <w:bottom w:val="single" w:sz="4" w:space="0" w:color="000000"/>
              <w:right w:val="single" w:sz="4" w:space="0" w:color="000000"/>
            </w:tcBorders>
            <w:shd w:val="clear" w:color="auto" w:fill="auto"/>
          </w:tcPr>
          <w:p w14:paraId="2A395C6E"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4 + ((16 - 4) * 0.30)</w:t>
            </w:r>
          </w:p>
        </w:tc>
        <w:tc>
          <w:tcPr>
            <w:tcW w:w="1158" w:type="dxa"/>
            <w:tcBorders>
              <w:top w:val="nil"/>
              <w:left w:val="nil"/>
              <w:bottom w:val="single" w:sz="4" w:space="0" w:color="000000"/>
              <w:right w:val="single" w:sz="4" w:space="0" w:color="000000"/>
            </w:tcBorders>
            <w:shd w:val="clear" w:color="auto" w:fill="auto"/>
          </w:tcPr>
          <w:p w14:paraId="759BBEA6"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7.60</w:t>
            </w:r>
          </w:p>
        </w:tc>
        <w:tc>
          <w:tcPr>
            <w:tcW w:w="222" w:type="dxa"/>
            <w:tcBorders>
              <w:top w:val="nil"/>
              <w:left w:val="nil"/>
              <w:bottom w:val="nil"/>
              <w:right w:val="nil"/>
            </w:tcBorders>
            <w:shd w:val="clear" w:color="auto" w:fill="auto"/>
          </w:tcPr>
          <w:p w14:paraId="72EDEC93"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2C99B06D"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Moderate risk band (30%)</w:t>
            </w:r>
          </w:p>
        </w:tc>
        <w:tc>
          <w:tcPr>
            <w:tcW w:w="1817" w:type="dxa"/>
            <w:tcBorders>
              <w:top w:val="nil"/>
              <w:left w:val="nil"/>
              <w:bottom w:val="single" w:sz="4" w:space="0" w:color="000000"/>
              <w:right w:val="single" w:sz="4" w:space="0" w:color="000000"/>
            </w:tcBorders>
            <w:shd w:val="clear" w:color="auto" w:fill="auto"/>
          </w:tcPr>
          <w:p w14:paraId="1F12042A"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4 + ((16 - 4) * 0.30)</w:t>
            </w:r>
          </w:p>
        </w:tc>
        <w:tc>
          <w:tcPr>
            <w:tcW w:w="1158" w:type="dxa"/>
            <w:tcBorders>
              <w:top w:val="nil"/>
              <w:left w:val="nil"/>
              <w:bottom w:val="single" w:sz="4" w:space="0" w:color="000000"/>
              <w:right w:val="single" w:sz="4" w:space="0" w:color="000000"/>
            </w:tcBorders>
            <w:shd w:val="clear" w:color="auto" w:fill="auto"/>
          </w:tcPr>
          <w:p w14:paraId="11368C70"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7.60</w:t>
            </w:r>
          </w:p>
        </w:tc>
      </w:tr>
      <w:tr w:rsidR="004463E3" w14:paraId="446077F5"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12E54EFC"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Significant risk band (50%)</w:t>
            </w:r>
          </w:p>
        </w:tc>
        <w:tc>
          <w:tcPr>
            <w:tcW w:w="1816" w:type="dxa"/>
            <w:tcBorders>
              <w:top w:val="nil"/>
              <w:left w:val="nil"/>
              <w:bottom w:val="single" w:sz="4" w:space="0" w:color="000000"/>
              <w:right w:val="single" w:sz="4" w:space="0" w:color="000000"/>
            </w:tcBorders>
            <w:shd w:val="clear" w:color="auto" w:fill="auto"/>
          </w:tcPr>
          <w:p w14:paraId="0213CED3"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4 + ((16 - 4) * 0.50)</w:t>
            </w:r>
          </w:p>
        </w:tc>
        <w:tc>
          <w:tcPr>
            <w:tcW w:w="1158" w:type="dxa"/>
            <w:tcBorders>
              <w:top w:val="nil"/>
              <w:left w:val="nil"/>
              <w:bottom w:val="single" w:sz="4" w:space="0" w:color="000000"/>
              <w:right w:val="single" w:sz="4" w:space="0" w:color="000000"/>
            </w:tcBorders>
            <w:shd w:val="clear" w:color="auto" w:fill="auto"/>
          </w:tcPr>
          <w:p w14:paraId="4CF22DBF"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10.00</w:t>
            </w:r>
          </w:p>
        </w:tc>
        <w:tc>
          <w:tcPr>
            <w:tcW w:w="222" w:type="dxa"/>
            <w:tcBorders>
              <w:top w:val="nil"/>
              <w:left w:val="nil"/>
              <w:bottom w:val="nil"/>
              <w:right w:val="nil"/>
            </w:tcBorders>
            <w:shd w:val="clear" w:color="auto" w:fill="auto"/>
          </w:tcPr>
          <w:p w14:paraId="01D1E1F8"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6BD68896"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Significant risk band (50%)</w:t>
            </w:r>
          </w:p>
        </w:tc>
        <w:tc>
          <w:tcPr>
            <w:tcW w:w="1817" w:type="dxa"/>
            <w:tcBorders>
              <w:top w:val="nil"/>
              <w:left w:val="nil"/>
              <w:bottom w:val="single" w:sz="4" w:space="0" w:color="000000"/>
              <w:right w:val="single" w:sz="4" w:space="0" w:color="000000"/>
            </w:tcBorders>
            <w:shd w:val="clear" w:color="auto" w:fill="auto"/>
          </w:tcPr>
          <w:p w14:paraId="2042C3C1"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4 + ((16 - 4) * 0.50)</w:t>
            </w:r>
          </w:p>
        </w:tc>
        <w:tc>
          <w:tcPr>
            <w:tcW w:w="1158" w:type="dxa"/>
            <w:tcBorders>
              <w:top w:val="nil"/>
              <w:left w:val="nil"/>
              <w:bottom w:val="single" w:sz="4" w:space="0" w:color="000000"/>
              <w:right w:val="single" w:sz="4" w:space="0" w:color="000000"/>
            </w:tcBorders>
            <w:shd w:val="clear" w:color="auto" w:fill="auto"/>
          </w:tcPr>
          <w:p w14:paraId="3C5C84D3"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10.00</w:t>
            </w:r>
          </w:p>
        </w:tc>
      </w:tr>
      <w:tr w:rsidR="004463E3" w14:paraId="5392667A"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43E6BBA9"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High risk band (&gt;50%)</w:t>
            </w:r>
          </w:p>
        </w:tc>
        <w:tc>
          <w:tcPr>
            <w:tcW w:w="1816" w:type="dxa"/>
            <w:tcBorders>
              <w:top w:val="nil"/>
              <w:left w:val="nil"/>
              <w:bottom w:val="single" w:sz="4" w:space="0" w:color="000000"/>
              <w:right w:val="single" w:sz="4" w:space="0" w:color="000000"/>
            </w:tcBorders>
            <w:shd w:val="clear" w:color="auto" w:fill="auto"/>
          </w:tcPr>
          <w:p w14:paraId="05BA0B14"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w:t>
            </w:r>
          </w:p>
        </w:tc>
        <w:tc>
          <w:tcPr>
            <w:tcW w:w="1158" w:type="dxa"/>
            <w:tcBorders>
              <w:top w:val="nil"/>
              <w:left w:val="nil"/>
              <w:bottom w:val="single" w:sz="4" w:space="0" w:color="000000"/>
              <w:right w:val="single" w:sz="4" w:space="0" w:color="000000"/>
            </w:tcBorders>
            <w:shd w:val="clear" w:color="auto" w:fill="auto"/>
          </w:tcPr>
          <w:p w14:paraId="4D47B915"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&gt; 10.00</w:t>
            </w:r>
          </w:p>
        </w:tc>
        <w:tc>
          <w:tcPr>
            <w:tcW w:w="222" w:type="dxa"/>
            <w:tcBorders>
              <w:top w:val="nil"/>
              <w:left w:val="nil"/>
              <w:bottom w:val="nil"/>
              <w:right w:val="nil"/>
            </w:tcBorders>
            <w:shd w:val="clear" w:color="auto" w:fill="auto"/>
          </w:tcPr>
          <w:p w14:paraId="53944B05"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7B0EEA56" w14:textId="77777777" w:rsidR="004463E3" w:rsidRDefault="00190C9A">
            <w:pPr>
              <w:spacing w:after="0"/>
              <w:rPr>
                <w:rFonts w:ascii="Calibri" w:eastAsia="Calibri" w:hAnsi="Calibri" w:cs="Calibri"/>
                <w:sz w:val="18"/>
                <w:szCs w:val="18"/>
              </w:rPr>
            </w:pPr>
            <w:r>
              <w:rPr>
                <w:rFonts w:ascii="Calibri" w:eastAsia="Calibri" w:hAnsi="Calibri" w:cs="Calibri"/>
                <w:sz w:val="18"/>
                <w:szCs w:val="18"/>
              </w:rPr>
              <w:t>High risk band (&gt;50%)</w:t>
            </w:r>
          </w:p>
        </w:tc>
        <w:tc>
          <w:tcPr>
            <w:tcW w:w="1817" w:type="dxa"/>
            <w:tcBorders>
              <w:top w:val="nil"/>
              <w:left w:val="nil"/>
              <w:bottom w:val="single" w:sz="4" w:space="0" w:color="000000"/>
              <w:right w:val="single" w:sz="4" w:space="0" w:color="000000"/>
            </w:tcBorders>
            <w:shd w:val="clear" w:color="auto" w:fill="auto"/>
          </w:tcPr>
          <w:p w14:paraId="0640D830"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w:t>
            </w:r>
          </w:p>
        </w:tc>
        <w:tc>
          <w:tcPr>
            <w:tcW w:w="1158" w:type="dxa"/>
            <w:tcBorders>
              <w:top w:val="nil"/>
              <w:left w:val="nil"/>
              <w:bottom w:val="single" w:sz="4" w:space="0" w:color="000000"/>
              <w:right w:val="single" w:sz="4" w:space="0" w:color="000000"/>
            </w:tcBorders>
            <w:shd w:val="clear" w:color="auto" w:fill="auto"/>
          </w:tcPr>
          <w:p w14:paraId="00B24F21" w14:textId="77777777" w:rsidR="004463E3" w:rsidRDefault="00190C9A">
            <w:pPr>
              <w:spacing w:after="0"/>
              <w:jc w:val="center"/>
              <w:rPr>
                <w:rFonts w:ascii="Calibri" w:eastAsia="Calibri" w:hAnsi="Calibri" w:cs="Calibri"/>
                <w:sz w:val="18"/>
                <w:szCs w:val="18"/>
              </w:rPr>
            </w:pPr>
            <w:r>
              <w:rPr>
                <w:rFonts w:ascii="Calibri" w:eastAsia="Calibri" w:hAnsi="Calibri" w:cs="Calibri"/>
                <w:sz w:val="18"/>
                <w:szCs w:val="18"/>
              </w:rPr>
              <w:t>= &gt; 10.00</w:t>
            </w:r>
          </w:p>
        </w:tc>
      </w:tr>
      <w:tr w:rsidR="004463E3" w14:paraId="59E756DF" w14:textId="77777777">
        <w:trPr>
          <w:trHeight w:val="240"/>
        </w:trPr>
        <w:tc>
          <w:tcPr>
            <w:tcW w:w="2275" w:type="dxa"/>
            <w:tcBorders>
              <w:top w:val="nil"/>
              <w:left w:val="single" w:sz="4" w:space="0" w:color="000000"/>
              <w:bottom w:val="single" w:sz="4" w:space="0" w:color="000000"/>
              <w:right w:val="single" w:sz="4" w:space="0" w:color="000000"/>
            </w:tcBorders>
            <w:shd w:val="clear" w:color="auto" w:fill="D9D9D9"/>
          </w:tcPr>
          <w:p w14:paraId="327226B8" w14:textId="77777777" w:rsidR="004463E3" w:rsidRDefault="00190C9A">
            <w:pPr>
              <w:spacing w:after="0"/>
              <w:rPr>
                <w:rFonts w:ascii="Calibri" w:eastAsia="Calibri" w:hAnsi="Calibri" w:cs="Calibri"/>
                <w:b/>
                <w:sz w:val="18"/>
                <w:szCs w:val="18"/>
              </w:rPr>
            </w:pPr>
            <w:r>
              <w:rPr>
                <w:rFonts w:ascii="Calibri" w:eastAsia="Calibri" w:hAnsi="Calibri" w:cs="Calibri"/>
                <w:b/>
                <w:sz w:val="18"/>
                <w:szCs w:val="18"/>
              </w:rPr>
              <w:t>Overall risk</w:t>
            </w:r>
          </w:p>
        </w:tc>
        <w:tc>
          <w:tcPr>
            <w:tcW w:w="1816" w:type="dxa"/>
            <w:tcBorders>
              <w:top w:val="nil"/>
              <w:left w:val="nil"/>
              <w:bottom w:val="single" w:sz="4" w:space="0" w:color="000000"/>
              <w:right w:val="single" w:sz="4" w:space="0" w:color="000000"/>
            </w:tcBorders>
            <w:shd w:val="clear" w:color="auto" w:fill="D9D9D9"/>
          </w:tcPr>
          <w:p w14:paraId="60444253" w14:textId="77777777" w:rsidR="004463E3" w:rsidRDefault="00190C9A">
            <w:pPr>
              <w:spacing w:after="0"/>
              <w:jc w:val="center"/>
              <w:rPr>
                <w:rFonts w:ascii="Calibri" w:eastAsia="Calibri" w:hAnsi="Calibri" w:cs="Calibri"/>
                <w:b/>
                <w:sz w:val="18"/>
                <w:szCs w:val="18"/>
              </w:rPr>
            </w:pPr>
            <w:r>
              <w:rPr>
                <w:rFonts w:ascii="Calibri" w:eastAsia="Calibri" w:hAnsi="Calibri" w:cs="Calibri"/>
                <w:b/>
                <w:sz w:val="18"/>
                <w:szCs w:val="18"/>
              </w:rPr>
              <w:t>Moderate</w:t>
            </w:r>
          </w:p>
        </w:tc>
        <w:tc>
          <w:tcPr>
            <w:tcW w:w="1158" w:type="dxa"/>
            <w:tcBorders>
              <w:top w:val="nil"/>
              <w:left w:val="nil"/>
              <w:bottom w:val="single" w:sz="4" w:space="0" w:color="000000"/>
              <w:right w:val="single" w:sz="4" w:space="0" w:color="000000"/>
            </w:tcBorders>
            <w:shd w:val="clear" w:color="auto" w:fill="D9D9D9"/>
          </w:tcPr>
          <w:p w14:paraId="35B1500E" w14:textId="77777777" w:rsidR="004463E3" w:rsidRDefault="00190C9A">
            <w:pPr>
              <w:spacing w:after="0"/>
              <w:jc w:val="center"/>
              <w:rPr>
                <w:rFonts w:ascii="Calibri" w:eastAsia="Calibri" w:hAnsi="Calibri" w:cs="Calibri"/>
                <w:b/>
                <w:sz w:val="18"/>
                <w:szCs w:val="18"/>
              </w:rPr>
            </w:pPr>
            <w:r>
              <w:rPr>
                <w:rFonts w:ascii="Calibri" w:eastAsia="Calibri" w:hAnsi="Calibri" w:cs="Calibri"/>
                <w:b/>
                <w:sz w:val="18"/>
                <w:szCs w:val="18"/>
              </w:rPr>
              <w:t>7.00</w:t>
            </w:r>
          </w:p>
        </w:tc>
        <w:tc>
          <w:tcPr>
            <w:tcW w:w="222" w:type="dxa"/>
            <w:tcBorders>
              <w:top w:val="nil"/>
              <w:left w:val="nil"/>
              <w:bottom w:val="nil"/>
              <w:right w:val="nil"/>
            </w:tcBorders>
            <w:shd w:val="clear" w:color="auto" w:fill="auto"/>
          </w:tcPr>
          <w:p w14:paraId="6E59041F" w14:textId="77777777" w:rsidR="004463E3" w:rsidRDefault="004463E3">
            <w:pPr>
              <w:spacing w:after="0"/>
              <w:jc w:val="center"/>
              <w:rPr>
                <w:rFonts w:ascii="Calibri" w:eastAsia="Calibri" w:hAnsi="Calibri" w:cs="Calibri"/>
                <w:b/>
                <w:sz w:val="18"/>
                <w:szCs w:val="18"/>
              </w:rPr>
            </w:pPr>
          </w:p>
        </w:tc>
        <w:tc>
          <w:tcPr>
            <w:tcW w:w="2354" w:type="dxa"/>
            <w:tcBorders>
              <w:top w:val="nil"/>
              <w:left w:val="single" w:sz="4" w:space="0" w:color="000000"/>
              <w:bottom w:val="single" w:sz="4" w:space="0" w:color="000000"/>
              <w:right w:val="single" w:sz="4" w:space="0" w:color="000000"/>
            </w:tcBorders>
            <w:shd w:val="clear" w:color="auto" w:fill="D9D9D9"/>
          </w:tcPr>
          <w:p w14:paraId="68000DB3" w14:textId="77777777" w:rsidR="004463E3" w:rsidRDefault="00190C9A">
            <w:pPr>
              <w:spacing w:after="0"/>
              <w:rPr>
                <w:rFonts w:ascii="Calibri" w:eastAsia="Calibri" w:hAnsi="Calibri" w:cs="Calibri"/>
                <w:b/>
                <w:sz w:val="18"/>
                <w:szCs w:val="18"/>
              </w:rPr>
            </w:pPr>
            <w:r>
              <w:rPr>
                <w:rFonts w:ascii="Calibri" w:eastAsia="Calibri" w:hAnsi="Calibri" w:cs="Calibri"/>
                <w:b/>
                <w:sz w:val="18"/>
                <w:szCs w:val="18"/>
              </w:rPr>
              <w:t>Overall risk</w:t>
            </w:r>
          </w:p>
        </w:tc>
        <w:tc>
          <w:tcPr>
            <w:tcW w:w="1817" w:type="dxa"/>
            <w:tcBorders>
              <w:top w:val="nil"/>
              <w:left w:val="nil"/>
              <w:bottom w:val="single" w:sz="4" w:space="0" w:color="000000"/>
              <w:right w:val="single" w:sz="4" w:space="0" w:color="000000"/>
            </w:tcBorders>
            <w:shd w:val="clear" w:color="auto" w:fill="D9D9D9"/>
          </w:tcPr>
          <w:p w14:paraId="651A705B" w14:textId="77777777" w:rsidR="004463E3" w:rsidRDefault="00190C9A">
            <w:pPr>
              <w:spacing w:after="0"/>
              <w:jc w:val="center"/>
              <w:rPr>
                <w:rFonts w:ascii="Calibri" w:eastAsia="Calibri" w:hAnsi="Calibri" w:cs="Calibri"/>
                <w:b/>
                <w:sz w:val="18"/>
                <w:szCs w:val="18"/>
              </w:rPr>
            </w:pPr>
            <w:r>
              <w:rPr>
                <w:rFonts w:ascii="Calibri" w:eastAsia="Calibri" w:hAnsi="Calibri" w:cs="Calibri"/>
                <w:b/>
                <w:sz w:val="18"/>
                <w:szCs w:val="18"/>
              </w:rPr>
              <w:t>Significant</w:t>
            </w:r>
          </w:p>
        </w:tc>
        <w:tc>
          <w:tcPr>
            <w:tcW w:w="1158" w:type="dxa"/>
            <w:tcBorders>
              <w:top w:val="nil"/>
              <w:left w:val="nil"/>
              <w:bottom w:val="single" w:sz="4" w:space="0" w:color="000000"/>
              <w:right w:val="single" w:sz="4" w:space="0" w:color="000000"/>
            </w:tcBorders>
            <w:shd w:val="clear" w:color="auto" w:fill="D9D9D9"/>
          </w:tcPr>
          <w:p w14:paraId="42553537" w14:textId="77777777" w:rsidR="004463E3" w:rsidRDefault="00190C9A">
            <w:pPr>
              <w:spacing w:after="0"/>
              <w:jc w:val="center"/>
              <w:rPr>
                <w:rFonts w:ascii="Calibri" w:eastAsia="Calibri" w:hAnsi="Calibri" w:cs="Calibri"/>
                <w:b/>
                <w:sz w:val="18"/>
                <w:szCs w:val="18"/>
              </w:rPr>
            </w:pPr>
            <w:r>
              <w:rPr>
                <w:rFonts w:ascii="Calibri" w:eastAsia="Calibri" w:hAnsi="Calibri" w:cs="Calibri"/>
                <w:b/>
                <w:sz w:val="18"/>
                <w:szCs w:val="18"/>
              </w:rPr>
              <w:t>10.00</w:t>
            </w:r>
          </w:p>
        </w:tc>
      </w:tr>
    </w:tbl>
    <w:p w14:paraId="1AFC8553" w14:textId="77777777" w:rsidR="004463E3" w:rsidRDefault="004463E3">
      <w:pPr>
        <w:spacing w:after="0"/>
        <w:jc w:val="left"/>
        <w:rPr>
          <w:rFonts w:ascii="Calibri" w:eastAsia="Calibri" w:hAnsi="Calibri" w:cs="Calibri"/>
          <w:sz w:val="22"/>
          <w:szCs w:val="22"/>
        </w:rPr>
      </w:pPr>
    </w:p>
    <w:p w14:paraId="64939299" w14:textId="77777777" w:rsidR="004463E3" w:rsidRDefault="00190C9A">
      <w:pPr>
        <w:spacing w:after="0"/>
        <w:jc w:val="left"/>
        <w:rPr>
          <w:rFonts w:ascii="Calibri" w:eastAsia="Calibri" w:hAnsi="Calibri" w:cs="Calibri"/>
          <w:b/>
          <w:sz w:val="22"/>
          <w:szCs w:val="22"/>
        </w:rPr>
      </w:pPr>
      <w:r>
        <w:br w:type="page"/>
      </w:r>
    </w:p>
    <w:p w14:paraId="0C6BE26F" w14:textId="77777777" w:rsidR="004463E3" w:rsidRDefault="00190C9A">
      <w:pPr>
        <w:jc w:val="center"/>
        <w:rPr>
          <w:rFonts w:ascii="Calibri" w:eastAsia="Calibri" w:hAnsi="Calibri" w:cs="Calibri"/>
          <w:b/>
          <w:sz w:val="22"/>
          <w:szCs w:val="22"/>
        </w:rPr>
      </w:pPr>
      <w:r>
        <w:rPr>
          <w:rFonts w:ascii="Calibri" w:eastAsia="Calibri" w:hAnsi="Calibri" w:cs="Calibri"/>
          <w:b/>
          <w:sz w:val="22"/>
          <w:szCs w:val="22"/>
        </w:rPr>
        <w:t>Annex 3: Micro Assessment Report Format</w:t>
      </w:r>
    </w:p>
    <w:p w14:paraId="21DA708D" w14:textId="77777777" w:rsidR="004463E3" w:rsidRDefault="004463E3">
      <w:pPr>
        <w:jc w:val="left"/>
        <w:rPr>
          <w:rFonts w:ascii="Calibri" w:eastAsia="Calibri" w:hAnsi="Calibri" w:cs="Calibri"/>
          <w:sz w:val="22"/>
          <w:szCs w:val="22"/>
        </w:rPr>
      </w:pPr>
    </w:p>
    <w:p w14:paraId="541C9BDA" w14:textId="77777777" w:rsidR="004463E3" w:rsidRDefault="00190C9A">
      <w:pPr>
        <w:rPr>
          <w:rFonts w:ascii="Calibri" w:eastAsia="Calibri" w:hAnsi="Calibri" w:cs="Calibri"/>
          <w:b/>
          <w:sz w:val="22"/>
          <w:szCs w:val="22"/>
        </w:rPr>
      </w:pPr>
      <w:r>
        <w:rPr>
          <w:rFonts w:ascii="Calibri" w:eastAsia="Calibri" w:hAnsi="Calibri" w:cs="Calibri"/>
          <w:b/>
          <w:sz w:val="22"/>
          <w:szCs w:val="22"/>
        </w:rPr>
        <w:t>Front Page</w:t>
      </w:r>
    </w:p>
    <w:p w14:paraId="6893D0BC" w14:textId="77777777" w:rsidR="004463E3" w:rsidRDefault="004463E3">
      <w:pPr>
        <w:jc w:val="center"/>
        <w:rPr>
          <w:rFonts w:ascii="Calibri" w:eastAsia="Calibri" w:hAnsi="Calibri" w:cs="Calibri"/>
          <w:b/>
          <w:sz w:val="22"/>
          <w:szCs w:val="22"/>
        </w:rPr>
      </w:pPr>
    </w:p>
    <w:p w14:paraId="09BBB4A3" w14:textId="77777777" w:rsidR="004463E3" w:rsidRDefault="00190C9A">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cs="Calibri"/>
          <w:sz w:val="22"/>
          <w:szCs w:val="22"/>
        </w:rPr>
      </w:pPr>
      <w:r>
        <w:rPr>
          <w:rFonts w:ascii="Calibri" w:eastAsia="Calibri" w:hAnsi="Calibri" w:cs="Calibri"/>
          <w:sz w:val="22"/>
          <w:szCs w:val="22"/>
        </w:rPr>
        <w:t>Micro Assessment of [Name of the IP]</w:t>
      </w:r>
    </w:p>
    <w:p w14:paraId="010D79C1" w14:textId="77777777" w:rsidR="004463E3" w:rsidRDefault="00190C9A">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cs="Calibri"/>
          <w:sz w:val="22"/>
          <w:szCs w:val="22"/>
        </w:rPr>
      </w:pPr>
      <w:r>
        <w:rPr>
          <w:rFonts w:ascii="Calibri" w:eastAsia="Calibri" w:hAnsi="Calibri" w:cs="Calibri"/>
          <w:sz w:val="22"/>
          <w:szCs w:val="22"/>
        </w:rPr>
        <w:t>Commissioned by [Name of the UN Agency/ies]</w:t>
      </w:r>
    </w:p>
    <w:p w14:paraId="7D049EDA" w14:textId="77777777" w:rsidR="004463E3" w:rsidRDefault="00190C9A">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cs="Calibri"/>
          <w:sz w:val="22"/>
          <w:szCs w:val="22"/>
        </w:rPr>
      </w:pPr>
      <w:r>
        <w:rPr>
          <w:rFonts w:ascii="Calibri" w:eastAsia="Calibri" w:hAnsi="Calibri" w:cs="Calibri"/>
          <w:sz w:val="22"/>
          <w:szCs w:val="22"/>
        </w:rPr>
        <w:t>Name of the 3</w:t>
      </w:r>
      <w:r>
        <w:rPr>
          <w:rFonts w:ascii="Calibri" w:eastAsia="Calibri" w:hAnsi="Calibri" w:cs="Calibri"/>
          <w:sz w:val="22"/>
          <w:szCs w:val="22"/>
          <w:vertAlign w:val="superscript"/>
        </w:rPr>
        <w:t>rd</w:t>
      </w:r>
      <w:r>
        <w:rPr>
          <w:rFonts w:ascii="Calibri" w:eastAsia="Calibri" w:hAnsi="Calibri" w:cs="Calibri"/>
          <w:sz w:val="22"/>
          <w:szCs w:val="22"/>
        </w:rPr>
        <w:t xml:space="preserve"> Party Service Provider</w:t>
      </w:r>
    </w:p>
    <w:p w14:paraId="354F04D0" w14:textId="77777777" w:rsidR="004463E3" w:rsidRDefault="00190C9A">
      <w:pPr>
        <w:pBdr>
          <w:top w:val="single" w:sz="4" w:space="1" w:color="000000"/>
          <w:left w:val="single" w:sz="4" w:space="4" w:color="000000"/>
          <w:bottom w:val="single" w:sz="4" w:space="1" w:color="000000"/>
          <w:right w:val="single" w:sz="4" w:space="0" w:color="000000"/>
          <w:between w:val="nil"/>
        </w:pBdr>
        <w:spacing w:after="160" w:line="256" w:lineRule="auto"/>
        <w:ind w:left="720"/>
        <w:jc w:val="center"/>
        <w:rPr>
          <w:rFonts w:ascii="Calibri" w:eastAsia="Calibri" w:hAnsi="Calibri" w:cs="Calibri"/>
          <w:sz w:val="22"/>
          <w:szCs w:val="22"/>
        </w:rPr>
      </w:pPr>
      <w:r>
        <w:rPr>
          <w:rFonts w:ascii="Calibri" w:eastAsia="Calibri" w:hAnsi="Calibri" w:cs="Calibri"/>
          <w:sz w:val="22"/>
          <w:szCs w:val="22"/>
        </w:rPr>
        <w:t>Date</w:t>
      </w:r>
    </w:p>
    <w:p w14:paraId="33786911" w14:textId="77777777" w:rsidR="004463E3" w:rsidRDefault="004463E3">
      <w:pPr>
        <w:rPr>
          <w:rFonts w:ascii="Calibri" w:eastAsia="Calibri" w:hAnsi="Calibri" w:cs="Calibri"/>
          <w:b/>
          <w:sz w:val="22"/>
          <w:szCs w:val="22"/>
        </w:rPr>
      </w:pPr>
    </w:p>
    <w:p w14:paraId="2D639249" w14:textId="77777777" w:rsidR="004463E3" w:rsidRDefault="00190C9A">
      <w:pPr>
        <w:rPr>
          <w:rFonts w:ascii="Calibri" w:eastAsia="Calibri" w:hAnsi="Calibri" w:cs="Calibri"/>
          <w:b/>
          <w:sz w:val="22"/>
          <w:szCs w:val="22"/>
        </w:rPr>
      </w:pPr>
      <w:r>
        <w:rPr>
          <w:rFonts w:ascii="Calibri" w:eastAsia="Calibri" w:hAnsi="Calibri" w:cs="Calibri"/>
          <w:b/>
          <w:sz w:val="22"/>
          <w:szCs w:val="22"/>
        </w:rPr>
        <w:t>Table of Contents</w:t>
      </w:r>
    </w:p>
    <w:p w14:paraId="5FEFBD94" w14:textId="77777777" w:rsidR="004463E3" w:rsidRDefault="004463E3">
      <w:pPr>
        <w:rPr>
          <w:rFonts w:ascii="Calibri" w:eastAsia="Calibri" w:hAnsi="Calibri" w:cs="Calibri"/>
          <w:b/>
          <w:sz w:val="22"/>
          <w:szCs w:val="22"/>
        </w:rPr>
      </w:pPr>
    </w:p>
    <w:p w14:paraId="0B48C66A" w14:textId="77777777" w:rsidR="004463E3" w:rsidRDefault="00190C9A">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cs="Calibri"/>
          <w:sz w:val="22"/>
          <w:szCs w:val="22"/>
        </w:rPr>
      </w:pPr>
      <w:r>
        <w:rPr>
          <w:rFonts w:ascii="Calibri" w:eastAsia="Calibri" w:hAnsi="Calibri" w:cs="Calibri"/>
          <w:sz w:val="22"/>
          <w:szCs w:val="22"/>
        </w:rPr>
        <w:t>Background, Scope and Methodology</w:t>
      </w:r>
    </w:p>
    <w:p w14:paraId="40C7B7FC" w14:textId="2D38CE3D" w:rsidR="00C53276" w:rsidRDefault="00866C77">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cs="Calibri"/>
          <w:sz w:val="22"/>
          <w:szCs w:val="22"/>
        </w:rPr>
      </w:pPr>
      <w:r>
        <w:rPr>
          <w:rFonts w:ascii="Calibri" w:eastAsia="Calibri" w:hAnsi="Calibri" w:cs="Calibri"/>
          <w:sz w:val="22"/>
          <w:szCs w:val="22"/>
        </w:rPr>
        <w:t>Partner summary information</w:t>
      </w:r>
    </w:p>
    <w:p w14:paraId="01F0765A" w14:textId="77777777" w:rsidR="004463E3" w:rsidRDefault="00190C9A">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cs="Calibri"/>
          <w:sz w:val="22"/>
          <w:szCs w:val="22"/>
        </w:rPr>
      </w:pPr>
      <w:r>
        <w:rPr>
          <w:rFonts w:ascii="Calibri" w:eastAsia="Calibri" w:hAnsi="Calibri" w:cs="Calibri"/>
          <w:sz w:val="22"/>
          <w:szCs w:val="22"/>
        </w:rPr>
        <w:t xml:space="preserve">Summary of Risk Assessment Results </w:t>
      </w:r>
    </w:p>
    <w:p w14:paraId="00F903C3" w14:textId="77777777" w:rsidR="004463E3" w:rsidRDefault="00190C9A">
      <w:pPr>
        <w:numPr>
          <w:ilvl w:val="0"/>
          <w:numId w:val="9"/>
        </w:numPr>
        <w:pBdr>
          <w:top w:val="single" w:sz="4" w:space="1" w:color="000000"/>
          <w:left w:val="single" w:sz="4" w:space="4" w:color="000000"/>
          <w:bottom w:val="single" w:sz="4" w:space="1" w:color="000000"/>
          <w:right w:val="single" w:sz="4" w:space="4" w:color="000000"/>
          <w:between w:val="nil"/>
        </w:pBdr>
        <w:spacing w:after="160" w:line="256" w:lineRule="auto"/>
        <w:jc w:val="left"/>
        <w:rPr>
          <w:rFonts w:ascii="Calibri" w:eastAsia="Calibri" w:hAnsi="Calibri" w:cs="Calibri"/>
          <w:sz w:val="22"/>
          <w:szCs w:val="22"/>
        </w:rPr>
      </w:pPr>
      <w:r>
        <w:rPr>
          <w:rFonts w:ascii="Calibri" w:eastAsia="Calibri" w:hAnsi="Calibri" w:cs="Calibri"/>
          <w:sz w:val="22"/>
          <w:szCs w:val="22"/>
        </w:rPr>
        <w:t xml:space="preserve">Detailed Internal Control Findings and Recommendations </w:t>
      </w:r>
    </w:p>
    <w:p w14:paraId="07E26E3E" w14:textId="0D8EA3DF" w:rsidR="009338D6" w:rsidRPr="0032626F" w:rsidRDefault="009338D6" w:rsidP="009338D6">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lang w:val="fr-FR"/>
        </w:rPr>
      </w:pPr>
      <w:r w:rsidRPr="0032626F">
        <w:rPr>
          <w:rFonts w:ascii="Calibri" w:eastAsia="Calibri" w:hAnsi="Calibri" w:cs="Calibri"/>
          <w:sz w:val="22"/>
          <w:szCs w:val="22"/>
          <w:lang w:val="fr-FR"/>
        </w:rPr>
        <w:t>Annex I. Micro assessment questionnaire</w:t>
      </w:r>
    </w:p>
    <w:p w14:paraId="7B2DF0B8" w14:textId="34316958" w:rsidR="00DF0997" w:rsidRDefault="00DF0997">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lang w:val="fr-FR"/>
        </w:rPr>
      </w:pPr>
      <w:r>
        <w:rPr>
          <w:rFonts w:ascii="Calibri" w:eastAsia="Calibri" w:hAnsi="Calibri" w:cs="Calibri"/>
          <w:sz w:val="22"/>
          <w:szCs w:val="22"/>
        </w:rPr>
        <w:t>Annex II. Implementing Partner and Programme Information</w:t>
      </w:r>
      <w:r w:rsidRPr="00DF0997">
        <w:rPr>
          <w:rFonts w:ascii="Calibri" w:eastAsia="Calibri" w:hAnsi="Calibri" w:cs="Calibri"/>
          <w:sz w:val="22"/>
          <w:szCs w:val="22"/>
          <w:lang w:val="fr-FR"/>
        </w:rPr>
        <w:t xml:space="preserve"> </w:t>
      </w:r>
    </w:p>
    <w:p w14:paraId="076FC19F" w14:textId="66A32BCF" w:rsidR="004463E3" w:rsidRDefault="00190C9A">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rPr>
      </w:pPr>
      <w:r w:rsidRPr="00DF0997">
        <w:rPr>
          <w:rFonts w:ascii="Calibri" w:eastAsia="Calibri" w:hAnsi="Calibri" w:cs="Calibri"/>
          <w:sz w:val="22"/>
          <w:szCs w:val="22"/>
          <w:lang w:val="fr-FR"/>
        </w:rPr>
        <w:t>Annex II</w:t>
      </w:r>
      <w:r w:rsidR="00DF0997">
        <w:rPr>
          <w:rFonts w:ascii="Calibri" w:eastAsia="Calibri" w:hAnsi="Calibri" w:cs="Calibri"/>
          <w:sz w:val="22"/>
          <w:szCs w:val="22"/>
          <w:lang w:val="fr-FR"/>
        </w:rPr>
        <w:t>I</w:t>
      </w:r>
      <w:r w:rsidRPr="00DF0997">
        <w:rPr>
          <w:rFonts w:ascii="Calibri" w:eastAsia="Calibri" w:hAnsi="Calibri" w:cs="Calibri"/>
          <w:sz w:val="22"/>
          <w:szCs w:val="22"/>
          <w:lang w:val="fr-FR"/>
        </w:rPr>
        <w:t xml:space="preserve">. </w:t>
      </w:r>
      <w:r>
        <w:rPr>
          <w:rFonts w:ascii="Calibri" w:eastAsia="Calibri" w:hAnsi="Calibri" w:cs="Calibri"/>
          <w:sz w:val="22"/>
          <w:szCs w:val="22"/>
        </w:rPr>
        <w:t xml:space="preserve">Organisational Chart of the Implementing Partner </w:t>
      </w:r>
    </w:p>
    <w:p w14:paraId="6563951A" w14:textId="189F5589" w:rsidR="004463E3" w:rsidRDefault="00190C9A">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rPr>
      </w:pPr>
      <w:r>
        <w:rPr>
          <w:rFonts w:ascii="Calibri" w:eastAsia="Calibri" w:hAnsi="Calibri" w:cs="Calibri"/>
          <w:sz w:val="22"/>
          <w:szCs w:val="22"/>
        </w:rPr>
        <w:t>Annex I</w:t>
      </w:r>
      <w:r w:rsidR="00DF0997">
        <w:rPr>
          <w:rFonts w:ascii="Calibri" w:eastAsia="Calibri" w:hAnsi="Calibri" w:cs="Calibri"/>
          <w:sz w:val="22"/>
          <w:szCs w:val="22"/>
        </w:rPr>
        <w:t>V</w:t>
      </w:r>
      <w:r>
        <w:rPr>
          <w:rFonts w:ascii="Calibri" w:eastAsia="Calibri" w:hAnsi="Calibri" w:cs="Calibri"/>
          <w:sz w:val="22"/>
          <w:szCs w:val="22"/>
        </w:rPr>
        <w:t xml:space="preserve">. List of persons met </w:t>
      </w:r>
    </w:p>
    <w:p w14:paraId="497ECFD5" w14:textId="77777777" w:rsidR="004463E3" w:rsidRPr="0032626F" w:rsidRDefault="004463E3">
      <w:pPr>
        <w:rPr>
          <w:rFonts w:ascii="Calibri" w:eastAsia="Calibri" w:hAnsi="Calibri" w:cs="Calibri"/>
          <w:sz w:val="22"/>
          <w:szCs w:val="22"/>
          <w:lang w:val="fr-FR"/>
        </w:rPr>
      </w:pPr>
    </w:p>
    <w:p w14:paraId="06FF4F52" w14:textId="77777777" w:rsidR="002B27A7" w:rsidRDefault="002B27A7">
      <w:pPr>
        <w:rPr>
          <w:rFonts w:ascii="Calibri" w:eastAsia="Calibri" w:hAnsi="Calibri" w:cs="Calibri"/>
          <w:b/>
          <w:sz w:val="22"/>
          <w:szCs w:val="22"/>
        </w:rPr>
      </w:pPr>
      <w:r>
        <w:rPr>
          <w:rFonts w:ascii="Calibri" w:eastAsia="Calibri" w:hAnsi="Calibri" w:cs="Calibri"/>
          <w:b/>
          <w:sz w:val="22"/>
          <w:szCs w:val="22"/>
        </w:rPr>
        <w:br w:type="page"/>
      </w:r>
    </w:p>
    <w:p w14:paraId="64FD0260" w14:textId="24B9CD22" w:rsidR="004463E3" w:rsidRDefault="00190C9A">
      <w:pPr>
        <w:numPr>
          <w:ilvl w:val="0"/>
          <w:numId w:val="3"/>
        </w:num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b/>
          <w:sz w:val="22"/>
          <w:szCs w:val="22"/>
        </w:rPr>
        <w:t>Background, Scope and Methodology</w:t>
      </w:r>
    </w:p>
    <w:p w14:paraId="59510300" w14:textId="77777777" w:rsidR="004463E3" w:rsidRDefault="00190C9A">
      <w:p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b/>
          <w:sz w:val="22"/>
          <w:szCs w:val="22"/>
        </w:rPr>
        <w:t>Background</w:t>
      </w:r>
    </w:p>
    <w:p w14:paraId="13ED06F2" w14:textId="77777777" w:rsidR="004463E3" w:rsidRDefault="00190C9A">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sz w:val="22"/>
          <w:szCs w:val="22"/>
        </w:rPr>
        <w:t xml:space="preserve">The micro assessment is part of the requirements under the Harmonized Approach to Cash Transfers (HACT) Framework. The HACT framework represents a common operational framework for UN agencies’ transfer of cash to government and non-governmental implementing partners. </w:t>
      </w:r>
    </w:p>
    <w:p w14:paraId="073033A1" w14:textId="77777777" w:rsidR="004463E3" w:rsidRDefault="00190C9A">
      <w:p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sz w:val="22"/>
          <w:szCs w:val="22"/>
        </w:rPr>
        <w:t>The micro-assessment assesses the IP’s control framework. It results in a risk rating (low, moderate, significant or high). The overall risk rating is used by the UN agencies, along with other available information (e.g. history of engagement with the agency and previous assurance results), to determine the type and frequency of assurance activities as per each agency’s guidelines and can be taken into consideration when selecting the appropriate cash transfer modality for an IP.</w:t>
      </w:r>
    </w:p>
    <w:p w14:paraId="5F39666D" w14:textId="77777777" w:rsidR="004463E3" w:rsidRDefault="00190C9A">
      <w:pPr>
        <w:rPr>
          <w:rFonts w:ascii="Calibri" w:eastAsia="Calibri" w:hAnsi="Calibri" w:cs="Calibri"/>
          <w:b/>
          <w:sz w:val="22"/>
          <w:szCs w:val="22"/>
        </w:rPr>
      </w:pPr>
      <w:r>
        <w:rPr>
          <w:rFonts w:ascii="Calibri" w:eastAsia="Calibri" w:hAnsi="Calibri" w:cs="Calibri"/>
          <w:b/>
          <w:sz w:val="22"/>
          <w:szCs w:val="22"/>
        </w:rPr>
        <w:t>Scope</w:t>
      </w:r>
    </w:p>
    <w:p w14:paraId="0B639D15" w14:textId="77777777" w:rsidR="004463E3" w:rsidRDefault="00190C9A">
      <w:pPr>
        <w:rPr>
          <w:rFonts w:ascii="Calibri" w:eastAsia="Calibri" w:hAnsi="Calibri" w:cs="Calibri"/>
          <w:sz w:val="22"/>
          <w:szCs w:val="22"/>
        </w:rPr>
      </w:pPr>
      <w:r>
        <w:rPr>
          <w:rFonts w:ascii="Calibri" w:eastAsia="Calibri" w:hAnsi="Calibri" w:cs="Calibri"/>
          <w:sz w:val="22"/>
          <w:szCs w:val="22"/>
        </w:rPr>
        <w:t xml:space="preserve">The micro-assessment provides an overall assessment of the Implementing Partner’s programme, financial and operations management policies, procedures, systems and internal controls. It includes: </w:t>
      </w:r>
    </w:p>
    <w:p w14:paraId="078DE974" w14:textId="77777777" w:rsidR="004463E3" w:rsidRDefault="00190C9A">
      <w:pPr>
        <w:numPr>
          <w:ilvl w:val="0"/>
          <w:numId w:val="2"/>
        </w:numPr>
        <w:pBdr>
          <w:top w:val="nil"/>
          <w:left w:val="nil"/>
          <w:bottom w:val="nil"/>
          <w:right w:val="nil"/>
          <w:between w:val="nil"/>
        </w:pBdr>
        <w:spacing w:after="0" w:line="256" w:lineRule="auto"/>
        <w:jc w:val="left"/>
        <w:rPr>
          <w:rFonts w:ascii="Calibri" w:eastAsia="Calibri" w:hAnsi="Calibri" w:cs="Calibri"/>
          <w:sz w:val="22"/>
          <w:szCs w:val="22"/>
        </w:rPr>
      </w:pPr>
      <w:r>
        <w:rPr>
          <w:rFonts w:ascii="Calibri" w:eastAsia="Calibri" w:hAnsi="Calibri" w:cs="Calibri"/>
          <w:sz w:val="22"/>
          <w:szCs w:val="22"/>
        </w:rPr>
        <w:t xml:space="preserve">A review of the IP legal status, governance structures and financial viability; programme management, organizational structure and staffing, accounting policies and procedures, fixed assets and inventory, financial reporting and monitoring, and procurement; </w:t>
      </w:r>
    </w:p>
    <w:p w14:paraId="6A41AACE" w14:textId="77777777" w:rsidR="004463E3" w:rsidRDefault="00190C9A">
      <w:pPr>
        <w:numPr>
          <w:ilvl w:val="0"/>
          <w:numId w:val="2"/>
        </w:numPr>
        <w:pBdr>
          <w:top w:val="nil"/>
          <w:left w:val="nil"/>
          <w:bottom w:val="nil"/>
          <w:right w:val="nil"/>
          <w:between w:val="nil"/>
        </w:pBdr>
        <w:spacing w:after="160" w:line="256" w:lineRule="auto"/>
        <w:jc w:val="left"/>
        <w:rPr>
          <w:rFonts w:ascii="Calibri" w:eastAsia="Calibri" w:hAnsi="Calibri" w:cs="Calibri"/>
          <w:sz w:val="22"/>
          <w:szCs w:val="22"/>
        </w:rPr>
      </w:pPr>
      <w:r>
        <w:rPr>
          <w:rFonts w:ascii="Calibri" w:eastAsia="Calibri" w:hAnsi="Calibri" w:cs="Calibri"/>
          <w:sz w:val="22"/>
          <w:szCs w:val="22"/>
        </w:rPr>
        <w:t>A focus on compliance with policies, procedures, regulations and institutional arrangements that are issued both by the Government and the Implementing Partner.</w:t>
      </w:r>
    </w:p>
    <w:p w14:paraId="4395360D" w14:textId="77777777" w:rsidR="004463E3" w:rsidRDefault="00190C9A">
      <w:pPr>
        <w:rPr>
          <w:rFonts w:ascii="Calibri" w:eastAsia="Calibri" w:hAnsi="Calibri" w:cs="Calibri"/>
          <w:b/>
          <w:sz w:val="22"/>
          <w:szCs w:val="22"/>
        </w:rPr>
      </w:pPr>
      <w:r>
        <w:rPr>
          <w:rFonts w:ascii="Calibri" w:eastAsia="Calibri" w:hAnsi="Calibri" w:cs="Calibri"/>
          <w:b/>
          <w:sz w:val="22"/>
          <w:szCs w:val="22"/>
        </w:rPr>
        <w:t>Methodology</w:t>
      </w:r>
    </w:p>
    <w:p w14:paraId="26E96FCD" w14:textId="77777777" w:rsidR="004463E3" w:rsidRDefault="00190C9A">
      <w:pPr>
        <w:rPr>
          <w:rFonts w:ascii="Calibri" w:eastAsia="Calibri" w:hAnsi="Calibri" w:cs="Calibri"/>
          <w:sz w:val="22"/>
          <w:szCs w:val="22"/>
        </w:rPr>
      </w:pPr>
      <w:r>
        <w:rPr>
          <w:rFonts w:ascii="Calibri" w:eastAsia="Calibri" w:hAnsi="Calibri" w:cs="Calibri"/>
          <w:sz w:val="22"/>
          <w:szCs w:val="22"/>
        </w:rPr>
        <w:t>We performed the micro-assessment from [date] to [date] at [describe locations].</w:t>
      </w:r>
    </w:p>
    <w:p w14:paraId="6472E17D" w14:textId="77777777" w:rsidR="004463E3" w:rsidRDefault="00190C9A">
      <w:pPr>
        <w:rPr>
          <w:rFonts w:ascii="Calibri" w:eastAsia="Calibri" w:hAnsi="Calibri" w:cs="Calibri"/>
          <w:sz w:val="22"/>
          <w:szCs w:val="22"/>
        </w:rPr>
      </w:pPr>
      <w:r>
        <w:rPr>
          <w:rFonts w:ascii="Calibri" w:eastAsia="Calibri" w:hAnsi="Calibri" w:cs="Calibri"/>
          <w:sz w:val="22"/>
          <w:szCs w:val="22"/>
        </w:rPr>
        <w:t xml:space="preserve">Through discussion with management, observation and walk-through tests of transactions, we have assessed the Implementing Partner’s and the related internal control system with emphasis on: </w:t>
      </w:r>
    </w:p>
    <w:p w14:paraId="26416655" w14:textId="77777777" w:rsidR="004463E3" w:rsidRDefault="00190C9A">
      <w:pPr>
        <w:numPr>
          <w:ilvl w:val="0"/>
          <w:numId w:val="10"/>
        </w:numPr>
        <w:pBdr>
          <w:top w:val="nil"/>
          <w:left w:val="nil"/>
          <w:bottom w:val="nil"/>
          <w:right w:val="nil"/>
          <w:between w:val="nil"/>
        </w:pBdr>
        <w:spacing w:after="0" w:line="256" w:lineRule="auto"/>
        <w:jc w:val="left"/>
        <w:rPr>
          <w:rFonts w:ascii="Calibri" w:eastAsia="Calibri" w:hAnsi="Calibri" w:cs="Calibri"/>
          <w:sz w:val="22"/>
          <w:szCs w:val="22"/>
        </w:rPr>
      </w:pPr>
      <w:r>
        <w:rPr>
          <w:rFonts w:ascii="Calibri" w:eastAsia="Calibri" w:hAnsi="Calibri" w:cs="Calibri"/>
          <w:sz w:val="22"/>
          <w:szCs w:val="22"/>
        </w:rPr>
        <w:t xml:space="preserve">The effectiveness of the systems in providing the Implementing Partner’s management with accurate and timely information for management of funds and assets in accordance with work plans and agreements with the United Nations agencies; </w:t>
      </w:r>
    </w:p>
    <w:p w14:paraId="35FF9043" w14:textId="77777777" w:rsidR="004463E3" w:rsidRDefault="00190C9A">
      <w:pPr>
        <w:numPr>
          <w:ilvl w:val="0"/>
          <w:numId w:val="10"/>
        </w:numPr>
        <w:pBdr>
          <w:top w:val="nil"/>
          <w:left w:val="nil"/>
          <w:bottom w:val="nil"/>
          <w:right w:val="nil"/>
          <w:between w:val="nil"/>
        </w:pBdr>
        <w:spacing w:after="160" w:line="256" w:lineRule="auto"/>
        <w:jc w:val="left"/>
        <w:rPr>
          <w:rFonts w:ascii="Calibri" w:eastAsia="Calibri" w:hAnsi="Calibri" w:cs="Calibri"/>
          <w:sz w:val="22"/>
          <w:szCs w:val="22"/>
        </w:rPr>
      </w:pPr>
      <w:r>
        <w:rPr>
          <w:rFonts w:ascii="Calibri" w:eastAsia="Calibri" w:hAnsi="Calibri" w:cs="Calibri"/>
          <w:sz w:val="22"/>
          <w:szCs w:val="22"/>
        </w:rPr>
        <w:t xml:space="preserve">The general effectiveness of the internal control system in protecting the assets and resources of the Implementing Partner. </w:t>
      </w:r>
    </w:p>
    <w:p w14:paraId="284E3BD3" w14:textId="77777777" w:rsidR="004463E3" w:rsidRDefault="00190C9A">
      <w:pPr>
        <w:rPr>
          <w:rFonts w:ascii="Calibri" w:eastAsia="Calibri" w:hAnsi="Calibri" w:cs="Calibri"/>
          <w:sz w:val="22"/>
          <w:szCs w:val="22"/>
        </w:rPr>
      </w:pPr>
      <w:r>
        <w:rPr>
          <w:rFonts w:ascii="Calibri" w:eastAsia="Calibri" w:hAnsi="Calibri" w:cs="Calibri"/>
          <w:sz w:val="22"/>
          <w:szCs w:val="22"/>
        </w:rPr>
        <w:t>We discussed the results of the micro assessment with applicable UN agency personnel and the IP prior to finalization of the report. The list of persons met and interviewed during the micro-assessment is set out in Annex III.</w:t>
      </w:r>
    </w:p>
    <w:p w14:paraId="5C59CD31" w14:textId="77777777" w:rsidR="004463E3" w:rsidRDefault="004463E3">
      <w:pPr>
        <w:rPr>
          <w:rFonts w:ascii="Calibri" w:eastAsia="Calibri" w:hAnsi="Calibri" w:cs="Calibri"/>
          <w:sz w:val="22"/>
          <w:szCs w:val="22"/>
        </w:rPr>
      </w:pPr>
    </w:p>
    <w:p w14:paraId="11631B0D" w14:textId="77777777" w:rsidR="002B27A7" w:rsidRDefault="002B27A7">
      <w:pPr>
        <w:rPr>
          <w:rFonts w:ascii="Calibri" w:eastAsia="Calibri" w:hAnsi="Calibri" w:cs="Calibri"/>
          <w:b/>
          <w:sz w:val="22"/>
          <w:szCs w:val="22"/>
        </w:rPr>
      </w:pPr>
      <w:r>
        <w:rPr>
          <w:rFonts w:ascii="Calibri" w:eastAsia="Calibri" w:hAnsi="Calibri" w:cs="Calibri"/>
          <w:b/>
          <w:sz w:val="22"/>
          <w:szCs w:val="22"/>
        </w:rPr>
        <w:br w:type="page"/>
      </w:r>
    </w:p>
    <w:p w14:paraId="578DCB45" w14:textId="2442F7DD" w:rsidR="00866C77" w:rsidRDefault="00866C77">
      <w:pPr>
        <w:numPr>
          <w:ilvl w:val="0"/>
          <w:numId w:val="3"/>
        </w:numPr>
        <w:pBdr>
          <w:top w:val="nil"/>
          <w:left w:val="nil"/>
          <w:bottom w:val="nil"/>
          <w:right w:val="nil"/>
          <w:between w:val="nil"/>
        </w:pBdr>
        <w:spacing w:after="160" w:line="256" w:lineRule="auto"/>
        <w:jc w:val="left"/>
        <w:rPr>
          <w:rFonts w:ascii="Calibri" w:eastAsia="Calibri" w:hAnsi="Calibri" w:cs="Calibri"/>
          <w:b/>
          <w:sz w:val="22"/>
          <w:szCs w:val="22"/>
        </w:rPr>
      </w:pPr>
      <w:r>
        <w:rPr>
          <w:rFonts w:ascii="Calibri" w:eastAsia="Calibri" w:hAnsi="Calibri" w:cs="Calibri"/>
          <w:b/>
          <w:sz w:val="22"/>
          <w:szCs w:val="22"/>
        </w:rPr>
        <w:t>Partner summary information</w:t>
      </w:r>
      <w:r w:rsidR="00CC7119">
        <w:rPr>
          <w:rFonts w:ascii="Calibri" w:eastAsia="Calibri" w:hAnsi="Calibri" w:cs="Calibri"/>
          <w:b/>
          <w:sz w:val="22"/>
          <w:szCs w:val="22"/>
        </w:rPr>
        <w:t xml:space="preserve"> (taken from “Information” tab of the </w:t>
      </w:r>
      <w:r w:rsidR="005A740C">
        <w:rPr>
          <w:rFonts w:ascii="Calibri" w:eastAsia="Calibri" w:hAnsi="Calibri" w:cs="Calibri"/>
          <w:b/>
          <w:sz w:val="22"/>
          <w:szCs w:val="22"/>
        </w:rPr>
        <w:t>assessment Excel document)</w:t>
      </w:r>
    </w:p>
    <w:p w14:paraId="1145E8A9" w14:textId="427D7098" w:rsidR="002B27A7" w:rsidRDefault="00CC7119" w:rsidP="42AB921A">
      <w:pPr>
        <w:rPr>
          <w:rFonts w:ascii="Calibri" w:eastAsia="Calibri" w:hAnsi="Calibri" w:cs="Calibri"/>
          <w:b/>
          <w:bCs/>
          <w:sz w:val="22"/>
          <w:szCs w:val="22"/>
        </w:rPr>
      </w:pPr>
      <w:r w:rsidRPr="00CC7119">
        <w:rPr>
          <w:rFonts w:eastAsia="Calibri"/>
          <w:noProof/>
        </w:rPr>
        <w:drawing>
          <wp:inline distT="0" distB="0" distL="0" distR="0" wp14:anchorId="40E4C912" wp14:editId="13B1868A">
            <wp:extent cx="5428584" cy="62103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969" cy="6218748"/>
                    </a:xfrm>
                    <a:prstGeom prst="rect">
                      <a:avLst/>
                    </a:prstGeom>
                    <a:noFill/>
                    <a:ln>
                      <a:noFill/>
                    </a:ln>
                  </pic:spPr>
                </pic:pic>
              </a:graphicData>
            </a:graphic>
          </wp:inline>
        </w:drawing>
      </w:r>
    </w:p>
    <w:p w14:paraId="200B0A05" w14:textId="77777777" w:rsidR="00CC7119" w:rsidRDefault="00CC7119">
      <w:pPr>
        <w:rPr>
          <w:rFonts w:ascii="Calibri" w:eastAsia="Calibri" w:hAnsi="Calibri" w:cs="Calibri"/>
          <w:b/>
          <w:sz w:val="22"/>
          <w:szCs w:val="22"/>
        </w:rPr>
      </w:pPr>
      <w:r>
        <w:rPr>
          <w:rFonts w:ascii="Calibri" w:eastAsia="Calibri" w:hAnsi="Calibri" w:cs="Calibri"/>
          <w:b/>
          <w:sz w:val="22"/>
          <w:szCs w:val="22"/>
        </w:rPr>
        <w:br w:type="page"/>
      </w:r>
    </w:p>
    <w:p w14:paraId="7C21ABD6" w14:textId="61554A2A" w:rsidR="004463E3" w:rsidRDefault="00190C9A">
      <w:pPr>
        <w:numPr>
          <w:ilvl w:val="0"/>
          <w:numId w:val="3"/>
        </w:numPr>
        <w:pBdr>
          <w:top w:val="nil"/>
          <w:left w:val="nil"/>
          <w:bottom w:val="nil"/>
          <w:right w:val="nil"/>
          <w:between w:val="nil"/>
        </w:pBdr>
        <w:spacing w:after="160" w:line="256" w:lineRule="auto"/>
        <w:jc w:val="left"/>
        <w:rPr>
          <w:rFonts w:ascii="Calibri" w:eastAsia="Calibri" w:hAnsi="Calibri" w:cs="Calibri"/>
          <w:b/>
          <w:sz w:val="22"/>
          <w:szCs w:val="22"/>
        </w:rPr>
      </w:pPr>
      <w:r>
        <w:rPr>
          <w:rFonts w:ascii="Calibri" w:eastAsia="Calibri" w:hAnsi="Calibri" w:cs="Calibri"/>
          <w:b/>
          <w:sz w:val="22"/>
          <w:szCs w:val="22"/>
        </w:rPr>
        <w:t>Summary of Risk Assessment Results</w:t>
      </w:r>
    </w:p>
    <w:p w14:paraId="32CA252F" w14:textId="77777777" w:rsidR="004463E3" w:rsidRDefault="00190C9A">
      <w:pPr>
        <w:rPr>
          <w:rFonts w:ascii="Calibri" w:eastAsia="Calibri" w:hAnsi="Calibri" w:cs="Calibri"/>
          <w:sz w:val="22"/>
          <w:szCs w:val="22"/>
        </w:rPr>
      </w:pPr>
      <w:r>
        <w:rPr>
          <w:rFonts w:ascii="Calibri" w:eastAsia="Calibri" w:hAnsi="Calibri" w:cs="Calibri"/>
          <w:b/>
          <w:i/>
          <w:sz w:val="22"/>
          <w:szCs w:val="22"/>
        </w:rPr>
        <w:t>[Executive summary of the overall risk assessment]</w:t>
      </w:r>
      <w:r>
        <w:rPr>
          <w:rFonts w:ascii="Calibri" w:eastAsia="Calibri" w:hAnsi="Calibri" w:cs="Calibri"/>
          <w:sz w:val="22"/>
          <w:szCs w:val="22"/>
        </w:rPr>
        <w:t xml:space="preserve">. </w:t>
      </w:r>
    </w:p>
    <w:p w14:paraId="10013A0B" w14:textId="77777777" w:rsidR="004463E3" w:rsidRDefault="004463E3">
      <w:pPr>
        <w:rPr>
          <w:rFonts w:ascii="Calibri" w:eastAsia="Calibri" w:hAnsi="Calibri" w:cs="Calibri"/>
          <w:sz w:val="22"/>
          <w:szCs w:val="22"/>
        </w:rPr>
      </w:pPr>
    </w:p>
    <w:p w14:paraId="1A1C73CB" w14:textId="77777777" w:rsidR="004463E3" w:rsidRDefault="00190C9A">
      <w:pPr>
        <w:rPr>
          <w:rFonts w:ascii="Calibri" w:eastAsia="Calibri" w:hAnsi="Calibri" w:cs="Calibri"/>
          <w:sz w:val="22"/>
          <w:szCs w:val="22"/>
        </w:rPr>
      </w:pPr>
      <w:r>
        <w:rPr>
          <w:rFonts w:ascii="Calibri" w:eastAsia="Calibri" w:hAnsi="Calibri" w:cs="Calibri"/>
          <w:sz w:val="22"/>
          <w:szCs w:val="22"/>
        </w:rPr>
        <w:t xml:space="preserve">The table below summarizes the results and main internal control gaps found during application of the micro-assessment questionnaire (in Annex IV). Detailed findings and recommendations are set out in section 3. below. </w:t>
      </w:r>
    </w:p>
    <w:p w14:paraId="5092E446" w14:textId="77777777" w:rsidR="004463E3" w:rsidRDefault="004463E3">
      <w:pPr>
        <w:rPr>
          <w:rFonts w:ascii="Calibri" w:eastAsia="Calibri" w:hAnsi="Calibri" w:cs="Calibri"/>
          <w:sz w:val="22"/>
          <w:szCs w:val="22"/>
        </w:rPr>
      </w:pPr>
    </w:p>
    <w:tbl>
      <w:tblPr>
        <w:tblW w:w="8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00" w:firstRow="0" w:lastRow="0" w:firstColumn="0" w:lastColumn="0" w:noHBand="0" w:noVBand="1"/>
      </w:tblPr>
      <w:tblGrid>
        <w:gridCol w:w="2037"/>
        <w:gridCol w:w="1559"/>
        <w:gridCol w:w="5394"/>
      </w:tblGrid>
      <w:tr w:rsidR="004463E3" w14:paraId="122D52A4" w14:textId="77777777">
        <w:trPr>
          <w:tblHeader/>
        </w:trPr>
        <w:tc>
          <w:tcPr>
            <w:tcW w:w="203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E4C2DBE" w14:textId="77777777" w:rsidR="004463E3" w:rsidRDefault="00190C9A">
            <w:pPr>
              <w:pBdr>
                <w:top w:val="nil"/>
                <w:left w:val="nil"/>
                <w:bottom w:val="nil"/>
                <w:right w:val="nil"/>
                <w:between w:val="nil"/>
              </w:pBdr>
              <w:spacing w:before="20" w:after="20" w:line="256" w:lineRule="auto"/>
              <w:jc w:val="left"/>
              <w:rPr>
                <w:rFonts w:ascii="Calibri" w:eastAsia="Calibri" w:hAnsi="Calibri" w:cs="Calibri"/>
                <w:b/>
                <w:sz w:val="22"/>
                <w:szCs w:val="22"/>
              </w:rPr>
            </w:pPr>
            <w:r>
              <w:rPr>
                <w:rFonts w:ascii="Calibri" w:eastAsia="Calibri" w:hAnsi="Calibri" w:cs="Calibri"/>
                <w:b/>
                <w:sz w:val="22"/>
                <w:szCs w:val="22"/>
              </w:rPr>
              <w:t>Subject area</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B83A379" w14:textId="77777777" w:rsidR="004463E3" w:rsidRDefault="00190C9A">
            <w:pPr>
              <w:pBdr>
                <w:top w:val="nil"/>
                <w:left w:val="nil"/>
                <w:bottom w:val="nil"/>
                <w:right w:val="nil"/>
                <w:between w:val="nil"/>
              </w:pBdr>
              <w:spacing w:before="20" w:after="20" w:line="256" w:lineRule="auto"/>
              <w:jc w:val="center"/>
              <w:rPr>
                <w:rFonts w:ascii="Calibri" w:eastAsia="Calibri" w:hAnsi="Calibri" w:cs="Calibri"/>
                <w:b/>
                <w:sz w:val="22"/>
                <w:szCs w:val="22"/>
              </w:rPr>
            </w:pPr>
            <w:r>
              <w:rPr>
                <w:rFonts w:ascii="Calibri" w:eastAsia="Calibri" w:hAnsi="Calibri" w:cs="Calibri"/>
                <w:b/>
                <w:sz w:val="22"/>
                <w:szCs w:val="22"/>
              </w:rPr>
              <w:t>Risk assessment*</w:t>
            </w:r>
          </w:p>
        </w:tc>
        <w:tc>
          <w:tcPr>
            <w:tcW w:w="539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4231D71" w14:textId="77777777" w:rsidR="004463E3" w:rsidRDefault="00190C9A">
            <w:pPr>
              <w:pBdr>
                <w:top w:val="nil"/>
                <w:left w:val="nil"/>
                <w:bottom w:val="nil"/>
                <w:right w:val="nil"/>
                <w:between w:val="nil"/>
              </w:pBdr>
              <w:spacing w:before="20" w:after="20" w:line="256" w:lineRule="auto"/>
              <w:jc w:val="center"/>
              <w:rPr>
                <w:rFonts w:ascii="Calibri" w:eastAsia="Calibri" w:hAnsi="Calibri" w:cs="Calibri"/>
                <w:b/>
                <w:sz w:val="22"/>
                <w:szCs w:val="22"/>
              </w:rPr>
            </w:pPr>
            <w:r>
              <w:rPr>
                <w:rFonts w:ascii="Calibri" w:eastAsia="Calibri" w:hAnsi="Calibri" w:cs="Calibri"/>
                <w:b/>
                <w:sz w:val="22"/>
                <w:szCs w:val="22"/>
              </w:rPr>
              <w:t>Brief justification for rating (main internal control gaps)</w:t>
            </w:r>
          </w:p>
        </w:tc>
      </w:tr>
      <w:tr w:rsidR="004463E3" w14:paraId="04122F7A" w14:textId="77777777">
        <w:tc>
          <w:tcPr>
            <w:tcW w:w="2037" w:type="dxa"/>
            <w:tcBorders>
              <w:top w:val="single" w:sz="4" w:space="0" w:color="000000"/>
              <w:left w:val="single" w:sz="4" w:space="0" w:color="000000"/>
              <w:bottom w:val="single" w:sz="4" w:space="0" w:color="000000"/>
              <w:right w:val="single" w:sz="4" w:space="0" w:color="000000"/>
            </w:tcBorders>
          </w:tcPr>
          <w:p w14:paraId="6FC82834" w14:textId="77777777" w:rsidR="004463E3" w:rsidRDefault="00190C9A">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sz w:val="22"/>
                <w:szCs w:val="22"/>
              </w:rPr>
              <w:t>1. Organisation</w:t>
            </w:r>
          </w:p>
        </w:tc>
        <w:tc>
          <w:tcPr>
            <w:tcW w:w="1559" w:type="dxa"/>
            <w:tcBorders>
              <w:top w:val="single" w:sz="4" w:space="0" w:color="000000"/>
              <w:left w:val="single" w:sz="4" w:space="0" w:color="000000"/>
              <w:bottom w:val="single" w:sz="4" w:space="0" w:color="000000"/>
              <w:right w:val="single" w:sz="4" w:space="0" w:color="000000"/>
            </w:tcBorders>
          </w:tcPr>
          <w:p w14:paraId="6CBB4FCB"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68F11727"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708FB911" w14:textId="77777777">
        <w:tc>
          <w:tcPr>
            <w:tcW w:w="2037" w:type="dxa"/>
            <w:tcBorders>
              <w:top w:val="single" w:sz="4" w:space="0" w:color="000000"/>
              <w:left w:val="single" w:sz="4" w:space="0" w:color="000000"/>
              <w:bottom w:val="single" w:sz="4" w:space="0" w:color="000000"/>
              <w:right w:val="single" w:sz="4" w:space="0" w:color="000000"/>
            </w:tcBorders>
          </w:tcPr>
          <w:p w14:paraId="48B41BE9" w14:textId="77777777" w:rsidR="004463E3" w:rsidRDefault="00190C9A">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sz w:val="22"/>
                <w:szCs w:val="22"/>
              </w:rPr>
              <w:t>2. People and behaviours</w:t>
            </w:r>
          </w:p>
        </w:tc>
        <w:tc>
          <w:tcPr>
            <w:tcW w:w="1559" w:type="dxa"/>
            <w:tcBorders>
              <w:top w:val="single" w:sz="4" w:space="0" w:color="000000"/>
              <w:left w:val="single" w:sz="4" w:space="0" w:color="000000"/>
              <w:bottom w:val="single" w:sz="4" w:space="0" w:color="000000"/>
              <w:right w:val="single" w:sz="4" w:space="0" w:color="000000"/>
            </w:tcBorders>
          </w:tcPr>
          <w:p w14:paraId="409F8326"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427729E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1F8A6178" w14:textId="77777777">
        <w:tc>
          <w:tcPr>
            <w:tcW w:w="2037" w:type="dxa"/>
            <w:tcBorders>
              <w:top w:val="single" w:sz="4" w:space="0" w:color="000000"/>
              <w:left w:val="single" w:sz="4" w:space="0" w:color="000000"/>
              <w:bottom w:val="single" w:sz="4" w:space="0" w:color="000000"/>
              <w:right w:val="single" w:sz="4" w:space="0" w:color="000000"/>
            </w:tcBorders>
          </w:tcPr>
          <w:p w14:paraId="54BBB0D1" w14:textId="77777777" w:rsidR="004463E3" w:rsidRDefault="00190C9A">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sz w:val="22"/>
                <w:szCs w:val="22"/>
              </w:rPr>
              <w:t xml:space="preserve">3. Activities </w:t>
            </w:r>
          </w:p>
        </w:tc>
        <w:tc>
          <w:tcPr>
            <w:tcW w:w="1559" w:type="dxa"/>
            <w:tcBorders>
              <w:top w:val="single" w:sz="4" w:space="0" w:color="000000"/>
              <w:left w:val="single" w:sz="4" w:space="0" w:color="000000"/>
              <w:bottom w:val="single" w:sz="4" w:space="0" w:color="000000"/>
              <w:right w:val="single" w:sz="4" w:space="0" w:color="000000"/>
            </w:tcBorders>
          </w:tcPr>
          <w:p w14:paraId="3F7B34A4"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749F54F0"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247181DF" w14:textId="77777777">
        <w:tc>
          <w:tcPr>
            <w:tcW w:w="2037" w:type="dxa"/>
            <w:tcBorders>
              <w:top w:val="single" w:sz="4" w:space="0" w:color="000000"/>
              <w:left w:val="single" w:sz="4" w:space="0" w:color="000000"/>
              <w:bottom w:val="single" w:sz="4" w:space="0" w:color="000000"/>
              <w:right w:val="single" w:sz="4" w:space="0" w:color="000000"/>
            </w:tcBorders>
          </w:tcPr>
          <w:p w14:paraId="1AC9E9D3" w14:textId="77777777" w:rsidR="004463E3" w:rsidRDefault="00190C9A">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sz w:val="22"/>
                <w:szCs w:val="22"/>
              </w:rPr>
              <w:t>4. Reporting and accountability</w:t>
            </w:r>
          </w:p>
        </w:tc>
        <w:tc>
          <w:tcPr>
            <w:tcW w:w="1559" w:type="dxa"/>
            <w:tcBorders>
              <w:top w:val="single" w:sz="4" w:space="0" w:color="000000"/>
              <w:left w:val="single" w:sz="4" w:space="0" w:color="000000"/>
              <w:bottom w:val="single" w:sz="4" w:space="0" w:color="000000"/>
              <w:right w:val="single" w:sz="4" w:space="0" w:color="000000"/>
            </w:tcBorders>
          </w:tcPr>
          <w:p w14:paraId="4F1C0417"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00D5C84A"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1ABC5385" w14:textId="77777777">
        <w:tc>
          <w:tcPr>
            <w:tcW w:w="2037" w:type="dxa"/>
            <w:tcBorders>
              <w:top w:val="single" w:sz="4" w:space="0" w:color="000000"/>
              <w:left w:val="single" w:sz="4" w:space="0" w:color="000000"/>
              <w:bottom w:val="single" w:sz="4" w:space="0" w:color="000000"/>
              <w:right w:val="single" w:sz="4" w:space="0" w:color="000000"/>
            </w:tcBorders>
          </w:tcPr>
          <w:p w14:paraId="31900A53" w14:textId="77777777" w:rsidR="004463E3" w:rsidRDefault="00190C9A">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eastAsia="Calibri" w:hAnsi="Calibri" w:cs="Calibri"/>
                <w:b/>
                <w:sz w:val="22"/>
                <w:szCs w:val="22"/>
              </w:rPr>
              <w:t>5. Assets and Inventory</w:t>
            </w:r>
          </w:p>
        </w:tc>
        <w:tc>
          <w:tcPr>
            <w:tcW w:w="1559" w:type="dxa"/>
            <w:tcBorders>
              <w:top w:val="single" w:sz="4" w:space="0" w:color="000000"/>
              <w:left w:val="single" w:sz="4" w:space="0" w:color="000000"/>
              <w:bottom w:val="single" w:sz="4" w:space="0" w:color="000000"/>
              <w:right w:val="single" w:sz="4" w:space="0" w:color="000000"/>
            </w:tcBorders>
          </w:tcPr>
          <w:p w14:paraId="7DE8EDF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6BFE6D84"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0529EB67" w14:textId="77777777">
        <w:tc>
          <w:tcPr>
            <w:tcW w:w="2037" w:type="dxa"/>
            <w:tcBorders>
              <w:top w:val="single" w:sz="4" w:space="0" w:color="000000"/>
              <w:left w:val="single" w:sz="4" w:space="0" w:color="000000"/>
              <w:bottom w:val="single" w:sz="4" w:space="0" w:color="000000"/>
              <w:right w:val="single" w:sz="4" w:space="0" w:color="000000"/>
            </w:tcBorders>
          </w:tcPr>
          <w:p w14:paraId="45DCE4D1" w14:textId="77777777" w:rsidR="004463E3" w:rsidRDefault="00190C9A">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sz w:val="22"/>
                <w:szCs w:val="22"/>
              </w:rPr>
              <w:t>6. Procurement</w:t>
            </w:r>
          </w:p>
        </w:tc>
        <w:tc>
          <w:tcPr>
            <w:tcW w:w="1559" w:type="dxa"/>
            <w:tcBorders>
              <w:top w:val="single" w:sz="4" w:space="0" w:color="000000"/>
              <w:left w:val="single" w:sz="4" w:space="0" w:color="000000"/>
              <w:bottom w:val="single" w:sz="4" w:space="0" w:color="000000"/>
              <w:right w:val="single" w:sz="4" w:space="0" w:color="000000"/>
            </w:tcBorders>
          </w:tcPr>
          <w:p w14:paraId="4642F50D"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11BFC65F"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4869EC60" w14:textId="77777777">
        <w:tc>
          <w:tcPr>
            <w:tcW w:w="2037" w:type="dxa"/>
            <w:tcBorders>
              <w:top w:val="single" w:sz="4" w:space="0" w:color="000000"/>
              <w:left w:val="single" w:sz="4" w:space="0" w:color="000000"/>
              <w:bottom w:val="single" w:sz="4" w:space="0" w:color="000000"/>
              <w:right w:val="single" w:sz="4" w:space="0" w:color="000000"/>
            </w:tcBorders>
          </w:tcPr>
          <w:p w14:paraId="34388D6F" w14:textId="77777777" w:rsidR="004463E3" w:rsidRDefault="00190C9A">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eastAsia="Calibri" w:hAnsi="Calibri" w:cs="Calibri"/>
                <w:b/>
                <w:sz w:val="22"/>
                <w:szCs w:val="22"/>
              </w:rPr>
              <w:t>7. Sub-partners</w:t>
            </w:r>
          </w:p>
        </w:tc>
        <w:tc>
          <w:tcPr>
            <w:tcW w:w="1559" w:type="dxa"/>
            <w:tcBorders>
              <w:top w:val="single" w:sz="4" w:space="0" w:color="000000"/>
              <w:left w:val="single" w:sz="4" w:space="0" w:color="000000"/>
              <w:bottom w:val="single" w:sz="4" w:space="0" w:color="000000"/>
              <w:right w:val="single" w:sz="4" w:space="0" w:color="000000"/>
            </w:tcBorders>
          </w:tcPr>
          <w:p w14:paraId="7896ABF2"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474F4DD6"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60375DB7" w14:textId="77777777">
        <w:tc>
          <w:tcPr>
            <w:tcW w:w="2037" w:type="dxa"/>
            <w:tcBorders>
              <w:top w:val="single" w:sz="4" w:space="0" w:color="000000"/>
              <w:left w:val="single" w:sz="4" w:space="0" w:color="000000"/>
              <w:bottom w:val="single" w:sz="4" w:space="0" w:color="000000"/>
              <w:right w:val="single" w:sz="4" w:space="0" w:color="000000"/>
            </w:tcBorders>
          </w:tcPr>
          <w:p w14:paraId="229DEC5A" w14:textId="5E082E56" w:rsidR="004463E3" w:rsidRDefault="00190C9A">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eastAsia="Calibri" w:hAnsi="Calibri" w:cs="Calibri"/>
                <w:b/>
                <w:sz w:val="22"/>
                <w:szCs w:val="22"/>
              </w:rPr>
              <w:t>8.</w:t>
            </w:r>
            <w:r w:rsidR="0032626F">
              <w:rPr>
                <w:rFonts w:ascii="Calibri" w:eastAsia="Calibri" w:hAnsi="Calibri" w:cs="Calibri"/>
                <w:b/>
                <w:sz w:val="22"/>
                <w:szCs w:val="22"/>
              </w:rPr>
              <w:t xml:space="preserve"> </w:t>
            </w:r>
            <w:r>
              <w:rPr>
                <w:rFonts w:ascii="Calibri" w:eastAsia="Calibri" w:hAnsi="Calibri" w:cs="Calibri"/>
                <w:b/>
                <w:sz w:val="22"/>
                <w:szCs w:val="22"/>
              </w:rPr>
              <w:t>Systems</w:t>
            </w:r>
          </w:p>
        </w:tc>
        <w:tc>
          <w:tcPr>
            <w:tcW w:w="1559" w:type="dxa"/>
            <w:tcBorders>
              <w:top w:val="single" w:sz="4" w:space="0" w:color="000000"/>
              <w:left w:val="single" w:sz="4" w:space="0" w:color="000000"/>
              <w:bottom w:val="single" w:sz="4" w:space="0" w:color="000000"/>
              <w:right w:val="single" w:sz="4" w:space="0" w:color="000000"/>
            </w:tcBorders>
          </w:tcPr>
          <w:p w14:paraId="1F810B7E"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34A2AF9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3A0B991B" w14:textId="77777777">
        <w:tc>
          <w:tcPr>
            <w:tcW w:w="2037" w:type="dxa"/>
            <w:tcBorders>
              <w:top w:val="single" w:sz="4" w:space="0" w:color="000000"/>
              <w:left w:val="single" w:sz="4" w:space="0" w:color="000000"/>
              <w:bottom w:val="single" w:sz="4" w:space="0" w:color="000000"/>
              <w:right w:val="single" w:sz="4" w:space="0" w:color="000000"/>
            </w:tcBorders>
            <w:shd w:val="clear" w:color="auto" w:fill="FBD5B5"/>
          </w:tcPr>
          <w:p w14:paraId="47132D37" w14:textId="77777777" w:rsidR="004463E3" w:rsidRDefault="00190C9A">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eastAsia="Calibri" w:hAnsi="Calibri" w:cs="Calibri"/>
                <w:b/>
                <w:sz w:val="22"/>
                <w:szCs w:val="22"/>
              </w:rPr>
              <w:t>Overall Risk Assessment</w:t>
            </w:r>
          </w:p>
        </w:tc>
        <w:tc>
          <w:tcPr>
            <w:tcW w:w="1559" w:type="dxa"/>
            <w:tcBorders>
              <w:top w:val="single" w:sz="4" w:space="0" w:color="000000"/>
              <w:left w:val="single" w:sz="4" w:space="0" w:color="000000"/>
              <w:bottom w:val="single" w:sz="4" w:space="0" w:color="000000"/>
              <w:right w:val="single" w:sz="4" w:space="0" w:color="000000"/>
            </w:tcBorders>
            <w:shd w:val="clear" w:color="auto" w:fill="FBD5B5"/>
          </w:tcPr>
          <w:p w14:paraId="45BA7ADC"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shd w:val="clear" w:color="auto" w:fill="FBD5B5"/>
          </w:tcPr>
          <w:p w14:paraId="1E0828A2"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bl>
    <w:p w14:paraId="69FD7ADF" w14:textId="77777777" w:rsidR="004463E3" w:rsidRDefault="00190C9A">
      <w:pPr>
        <w:rPr>
          <w:rFonts w:ascii="Calibri" w:eastAsia="Calibri" w:hAnsi="Calibri" w:cs="Calibri"/>
          <w:i/>
          <w:sz w:val="22"/>
          <w:szCs w:val="22"/>
        </w:rPr>
      </w:pPr>
      <w:bookmarkStart w:id="1" w:name="_heading=h.30j0zll" w:colFirst="0" w:colLast="0"/>
      <w:bookmarkEnd w:id="1"/>
      <w:r>
        <w:rPr>
          <w:rFonts w:ascii="Calibri" w:eastAsia="Calibri" w:hAnsi="Calibri" w:cs="Calibri"/>
          <w:i/>
          <w:sz w:val="22"/>
          <w:szCs w:val="22"/>
        </w:rPr>
        <w:t>*High, Significant, Moderate, Low</w:t>
      </w:r>
    </w:p>
    <w:p w14:paraId="3C5FA397" w14:textId="77777777" w:rsidR="004463E3" w:rsidRDefault="004463E3">
      <w:pPr>
        <w:spacing w:after="0"/>
        <w:jc w:val="left"/>
        <w:rPr>
          <w:rFonts w:ascii="Calibri" w:eastAsia="Calibri" w:hAnsi="Calibri" w:cs="Calibri"/>
          <w:sz w:val="22"/>
          <w:szCs w:val="22"/>
        </w:rPr>
      </w:pPr>
    </w:p>
    <w:p w14:paraId="3C13A4E2" w14:textId="77777777" w:rsidR="004463E3" w:rsidRDefault="004463E3">
      <w:pPr>
        <w:spacing w:after="0"/>
        <w:jc w:val="left"/>
        <w:rPr>
          <w:rFonts w:ascii="Calibri" w:eastAsia="Calibri" w:hAnsi="Calibri" w:cs="Calibri"/>
          <w:sz w:val="22"/>
          <w:szCs w:val="22"/>
        </w:rPr>
      </w:pPr>
    </w:p>
    <w:p w14:paraId="6CDAAFBE" w14:textId="77777777" w:rsidR="005A740C" w:rsidRDefault="005A740C">
      <w:pPr>
        <w:rPr>
          <w:rFonts w:ascii="Calibri" w:eastAsia="Calibri" w:hAnsi="Calibri" w:cs="Calibri"/>
          <w:b/>
          <w:sz w:val="22"/>
          <w:szCs w:val="22"/>
        </w:rPr>
      </w:pPr>
      <w:r>
        <w:rPr>
          <w:rFonts w:ascii="Calibri" w:eastAsia="Calibri" w:hAnsi="Calibri" w:cs="Calibri"/>
          <w:b/>
          <w:sz w:val="22"/>
          <w:szCs w:val="22"/>
        </w:rPr>
        <w:br w:type="page"/>
      </w:r>
    </w:p>
    <w:p w14:paraId="58A94173" w14:textId="1C831C20" w:rsidR="004463E3" w:rsidRDefault="00190C9A">
      <w:pPr>
        <w:numPr>
          <w:ilvl w:val="0"/>
          <w:numId w:val="3"/>
        </w:numPr>
        <w:pBdr>
          <w:top w:val="nil"/>
          <w:left w:val="nil"/>
          <w:bottom w:val="nil"/>
          <w:right w:val="nil"/>
          <w:between w:val="nil"/>
        </w:pBdr>
        <w:spacing w:after="160" w:line="256" w:lineRule="auto"/>
        <w:jc w:val="left"/>
        <w:rPr>
          <w:rFonts w:ascii="Calibri" w:eastAsia="Calibri" w:hAnsi="Calibri" w:cs="Calibri"/>
          <w:b/>
          <w:sz w:val="22"/>
          <w:szCs w:val="22"/>
        </w:rPr>
      </w:pPr>
      <w:r>
        <w:rPr>
          <w:rFonts w:ascii="Calibri" w:eastAsia="Calibri" w:hAnsi="Calibri" w:cs="Calibri"/>
          <w:b/>
          <w:sz w:val="22"/>
          <w:szCs w:val="22"/>
        </w:rPr>
        <w:t xml:space="preserve">Detailed Internal Control Findings and Recommendations </w:t>
      </w:r>
    </w:p>
    <w:tbl>
      <w:tblPr>
        <w:tblW w:w="9607"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8" w:type="dxa"/>
          <w:left w:w="85" w:type="dxa"/>
          <w:bottom w:w="57" w:type="dxa"/>
          <w:right w:w="85" w:type="dxa"/>
        </w:tblCellMar>
        <w:tblLook w:val="0400" w:firstRow="0" w:lastRow="0" w:firstColumn="0" w:lastColumn="0" w:noHBand="0" w:noVBand="1"/>
      </w:tblPr>
      <w:tblGrid>
        <w:gridCol w:w="492"/>
        <w:gridCol w:w="4073"/>
        <w:gridCol w:w="5042"/>
      </w:tblGrid>
      <w:tr w:rsidR="004463E3" w14:paraId="0EC65DBE" w14:textId="77777777">
        <w:tc>
          <w:tcPr>
            <w:tcW w:w="492" w:type="dxa"/>
            <w:tcBorders>
              <w:top w:val="single" w:sz="4" w:space="0" w:color="000000"/>
              <w:left w:val="single" w:sz="4" w:space="0" w:color="000000"/>
              <w:bottom w:val="single" w:sz="4" w:space="0" w:color="000000"/>
              <w:right w:val="single" w:sz="4" w:space="0" w:color="000000"/>
            </w:tcBorders>
            <w:shd w:val="clear" w:color="auto" w:fill="D9D9D9"/>
          </w:tcPr>
          <w:p w14:paraId="7040C053" w14:textId="77777777" w:rsidR="004463E3" w:rsidRDefault="00190C9A">
            <w:pPr>
              <w:spacing w:before="60"/>
              <w:rPr>
                <w:rFonts w:ascii="Calibri" w:eastAsia="Calibri" w:hAnsi="Calibri" w:cs="Calibri"/>
                <w:b/>
                <w:sz w:val="22"/>
                <w:szCs w:val="22"/>
              </w:rPr>
            </w:pPr>
            <w:r>
              <w:rPr>
                <w:rFonts w:ascii="Calibri" w:eastAsia="Calibri" w:hAnsi="Calibri" w:cs="Calibri"/>
                <w:b/>
                <w:sz w:val="22"/>
                <w:szCs w:val="22"/>
              </w:rPr>
              <w:t>No.</w:t>
            </w:r>
          </w:p>
        </w:tc>
        <w:tc>
          <w:tcPr>
            <w:tcW w:w="4073" w:type="dxa"/>
            <w:tcBorders>
              <w:top w:val="single" w:sz="4" w:space="0" w:color="000000"/>
              <w:left w:val="single" w:sz="4" w:space="0" w:color="000000"/>
              <w:bottom w:val="single" w:sz="4" w:space="0" w:color="000000"/>
              <w:right w:val="single" w:sz="4" w:space="0" w:color="000000"/>
            </w:tcBorders>
            <w:shd w:val="clear" w:color="auto" w:fill="D9D9D9"/>
          </w:tcPr>
          <w:p w14:paraId="7F1F3166" w14:textId="77777777" w:rsidR="004463E3" w:rsidRDefault="00190C9A">
            <w:pPr>
              <w:spacing w:before="60" w:after="60"/>
              <w:rPr>
                <w:rFonts w:ascii="Calibri" w:eastAsia="Calibri" w:hAnsi="Calibri" w:cs="Calibri"/>
                <w:b/>
                <w:sz w:val="22"/>
                <w:szCs w:val="22"/>
              </w:rPr>
            </w:pPr>
            <w:r>
              <w:rPr>
                <w:rFonts w:ascii="Calibri" w:eastAsia="Calibri" w:hAnsi="Calibri" w:cs="Calibri"/>
                <w:b/>
                <w:sz w:val="22"/>
                <w:szCs w:val="22"/>
              </w:rPr>
              <w:t>Description of Finding</w:t>
            </w:r>
          </w:p>
        </w:tc>
        <w:tc>
          <w:tcPr>
            <w:tcW w:w="5042" w:type="dxa"/>
            <w:tcBorders>
              <w:top w:val="single" w:sz="4" w:space="0" w:color="000000"/>
              <w:left w:val="single" w:sz="4" w:space="0" w:color="000000"/>
              <w:bottom w:val="single" w:sz="4" w:space="0" w:color="000000"/>
              <w:right w:val="single" w:sz="4" w:space="0" w:color="000000"/>
            </w:tcBorders>
            <w:shd w:val="clear" w:color="auto" w:fill="D9D9D9"/>
          </w:tcPr>
          <w:p w14:paraId="6AB722FE" w14:textId="77777777" w:rsidR="004463E3" w:rsidRDefault="00190C9A">
            <w:pPr>
              <w:spacing w:before="60" w:after="60"/>
              <w:rPr>
                <w:rFonts w:ascii="Calibri" w:eastAsia="Calibri" w:hAnsi="Calibri" w:cs="Calibri"/>
                <w:b/>
                <w:sz w:val="22"/>
                <w:szCs w:val="22"/>
              </w:rPr>
            </w:pPr>
            <w:r>
              <w:rPr>
                <w:rFonts w:ascii="Calibri" w:eastAsia="Calibri" w:hAnsi="Calibri" w:cs="Calibri"/>
                <w:b/>
                <w:sz w:val="22"/>
                <w:szCs w:val="22"/>
              </w:rPr>
              <w:t xml:space="preserve">Recommendation and </w:t>
            </w:r>
            <w:r>
              <w:rPr>
                <w:rFonts w:ascii="Calibri" w:eastAsia="Calibri" w:hAnsi="Calibri" w:cs="Calibri"/>
                <w:b/>
                <w:sz w:val="22"/>
                <w:szCs w:val="22"/>
                <w:shd w:val="clear" w:color="auto" w:fill="D9D9D9"/>
              </w:rPr>
              <w:t>IP Management Response</w:t>
            </w:r>
          </w:p>
        </w:tc>
      </w:tr>
      <w:tr w:rsidR="004463E3" w14:paraId="0BE27CFA"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6B06F1FA" w14:textId="77777777" w:rsidR="004463E3" w:rsidRDefault="00190C9A">
            <w:pPr>
              <w:rPr>
                <w:rFonts w:ascii="Calibri" w:eastAsia="Calibri" w:hAnsi="Calibri" w:cs="Calibri"/>
                <w:b/>
                <w:sz w:val="22"/>
                <w:szCs w:val="22"/>
              </w:rPr>
            </w:pPr>
            <w:r>
              <w:rPr>
                <w:rFonts w:ascii="Calibri" w:eastAsia="Calibri" w:hAnsi="Calibri" w:cs="Calibri"/>
                <w:b/>
                <w:sz w:val="22"/>
                <w:szCs w:val="22"/>
              </w:rPr>
              <w:t>1.</w:t>
            </w:r>
          </w:p>
        </w:tc>
        <w:tc>
          <w:tcPr>
            <w:tcW w:w="4073" w:type="dxa"/>
            <w:tcBorders>
              <w:top w:val="single" w:sz="4" w:space="0" w:color="000000"/>
              <w:left w:val="single" w:sz="4" w:space="0" w:color="000000"/>
              <w:bottom w:val="single" w:sz="4" w:space="0" w:color="000000"/>
              <w:right w:val="single" w:sz="4" w:space="0" w:color="000000"/>
            </w:tcBorders>
          </w:tcPr>
          <w:p w14:paraId="047DE741" w14:textId="77777777" w:rsidR="004463E3" w:rsidRDefault="00190C9A">
            <w:pPr>
              <w:spacing w:after="120"/>
              <w:rPr>
                <w:rFonts w:ascii="Calibri" w:eastAsia="Calibri" w:hAnsi="Calibri" w:cs="Calibri"/>
                <w:b/>
                <w:i/>
                <w:sz w:val="22"/>
                <w:szCs w:val="22"/>
              </w:rPr>
            </w:pPr>
            <w:r>
              <w:rPr>
                <w:rFonts w:ascii="Calibri" w:eastAsia="Calibri" w:hAnsi="Calibri" w:cs="Calibri"/>
                <w:b/>
                <w:i/>
                <w:sz w:val="22"/>
                <w:szCs w:val="22"/>
              </w:rPr>
              <w:t>Example: Insufficient staff training</w:t>
            </w:r>
          </w:p>
          <w:p w14:paraId="6D1D5D96" w14:textId="77777777" w:rsidR="004463E3" w:rsidRDefault="00190C9A">
            <w:pPr>
              <w:spacing w:after="120"/>
              <w:rPr>
                <w:rFonts w:ascii="Calibri" w:eastAsia="Calibri" w:hAnsi="Calibri" w:cs="Calibri"/>
                <w:b/>
                <w:i/>
                <w:sz w:val="22"/>
                <w:szCs w:val="22"/>
              </w:rPr>
            </w:pPr>
            <w:r>
              <w:rPr>
                <w:rFonts w:ascii="Calibri" w:eastAsia="Calibri" w:hAnsi="Calibri" w:cs="Calibri"/>
                <w:b/>
                <w:i/>
                <w:sz w:val="22"/>
                <w:szCs w:val="22"/>
              </w:rPr>
              <w:t>Priority rating: (High / Medium / Low)</w:t>
            </w:r>
          </w:p>
          <w:p w14:paraId="1A9C2D72" w14:textId="77777777" w:rsidR="004463E3" w:rsidRDefault="00190C9A">
            <w:pPr>
              <w:spacing w:after="120"/>
              <w:rPr>
                <w:rFonts w:ascii="Calibri" w:eastAsia="Calibri" w:hAnsi="Calibri" w:cs="Calibri"/>
                <w:i/>
                <w:sz w:val="22"/>
                <w:szCs w:val="22"/>
              </w:rPr>
            </w:pPr>
            <w:r>
              <w:rPr>
                <w:rFonts w:ascii="Calibri" w:eastAsia="Calibri" w:hAnsi="Calibri" w:cs="Calibri"/>
                <w:i/>
                <w:sz w:val="22"/>
                <w:szCs w:val="22"/>
              </w:rPr>
              <w:t>We noted that staff employed in the accounts department, who were primarily bookkeepers / administrators, had not received training on UN requirements for financial management and reporting, and had received only informal “on the job” training on the GABS accounting system.</w:t>
            </w:r>
          </w:p>
          <w:p w14:paraId="74881BE5" w14:textId="77777777" w:rsidR="004463E3" w:rsidRDefault="00190C9A">
            <w:pPr>
              <w:spacing w:after="120"/>
              <w:rPr>
                <w:rFonts w:ascii="Calibri" w:eastAsia="Calibri" w:hAnsi="Calibri" w:cs="Calibri"/>
                <w:sz w:val="22"/>
                <w:szCs w:val="22"/>
              </w:rPr>
            </w:pPr>
            <w:r>
              <w:rPr>
                <w:rFonts w:ascii="Calibri" w:eastAsia="Calibri" w:hAnsi="Calibri" w:cs="Calibri"/>
                <w:i/>
                <w:sz w:val="22"/>
                <w:szCs w:val="22"/>
              </w:rPr>
              <w:t>Lack of sufficient training increases the risk of error and failure to comply with the UN financial reporting requirements.</w:t>
            </w:r>
          </w:p>
        </w:tc>
        <w:tc>
          <w:tcPr>
            <w:tcW w:w="5042" w:type="dxa"/>
            <w:tcBorders>
              <w:top w:val="single" w:sz="4" w:space="0" w:color="000000"/>
              <w:left w:val="single" w:sz="4" w:space="0" w:color="000000"/>
              <w:bottom w:val="single" w:sz="4" w:space="0" w:color="000000"/>
              <w:right w:val="single" w:sz="4" w:space="0" w:color="000000"/>
            </w:tcBorders>
          </w:tcPr>
          <w:p w14:paraId="24A303D9" w14:textId="77777777" w:rsidR="004463E3" w:rsidRDefault="00190C9A">
            <w:pPr>
              <w:spacing w:after="120"/>
              <w:rPr>
                <w:rFonts w:ascii="Calibri" w:eastAsia="Calibri" w:hAnsi="Calibri" w:cs="Calibri"/>
                <w:i/>
                <w:sz w:val="22"/>
                <w:szCs w:val="22"/>
              </w:rPr>
            </w:pPr>
            <w:r>
              <w:rPr>
                <w:rFonts w:ascii="Calibri" w:eastAsia="Calibri" w:hAnsi="Calibri" w:cs="Calibri"/>
                <w:i/>
                <w:sz w:val="22"/>
                <w:szCs w:val="22"/>
              </w:rPr>
              <w:t xml:space="preserve">Example: </w:t>
            </w:r>
          </w:p>
          <w:p w14:paraId="1CD765CA" w14:textId="77777777" w:rsidR="004463E3" w:rsidRDefault="00190C9A">
            <w:pPr>
              <w:pBdr>
                <w:top w:val="nil"/>
                <w:left w:val="nil"/>
                <w:bottom w:val="nil"/>
                <w:right w:val="nil"/>
                <w:between w:val="nil"/>
              </w:pBdr>
              <w:spacing w:after="120"/>
              <w:ind w:right="-29"/>
              <w:rPr>
                <w:rFonts w:ascii="Calibri" w:eastAsia="Calibri" w:hAnsi="Calibri" w:cs="Calibri"/>
                <w:i/>
                <w:sz w:val="22"/>
                <w:szCs w:val="22"/>
              </w:rPr>
            </w:pPr>
            <w:r>
              <w:rPr>
                <w:rFonts w:ascii="Calibri" w:eastAsia="Calibri" w:hAnsi="Calibri" w:cs="Calibri"/>
                <w:i/>
                <w:sz w:val="22"/>
                <w:szCs w:val="22"/>
              </w:rPr>
              <w:t>The organisation should ensure staff are properly trained and aware of UN financial reporting requirements.</w:t>
            </w:r>
          </w:p>
          <w:p w14:paraId="0E68B494" w14:textId="77777777" w:rsidR="004463E3" w:rsidRDefault="00190C9A">
            <w:pPr>
              <w:pBdr>
                <w:top w:val="nil"/>
                <w:left w:val="nil"/>
                <w:bottom w:val="nil"/>
                <w:right w:val="nil"/>
                <w:between w:val="nil"/>
              </w:pBdr>
              <w:spacing w:after="120"/>
              <w:ind w:right="-29"/>
              <w:rPr>
                <w:rFonts w:ascii="Calibri" w:eastAsia="Calibri" w:hAnsi="Calibri" w:cs="Calibri"/>
                <w:b/>
                <w:i/>
                <w:sz w:val="22"/>
                <w:szCs w:val="22"/>
              </w:rPr>
            </w:pPr>
            <w:r>
              <w:rPr>
                <w:rFonts w:ascii="Calibri" w:eastAsia="Calibri" w:hAnsi="Calibri" w:cs="Calibri"/>
                <w:b/>
                <w:i/>
                <w:sz w:val="22"/>
                <w:szCs w:val="22"/>
              </w:rPr>
              <w:t>IP Management Response</w:t>
            </w:r>
          </w:p>
          <w:p w14:paraId="61E43C19" w14:textId="77777777" w:rsidR="004463E3" w:rsidRDefault="00190C9A">
            <w:pPr>
              <w:pBdr>
                <w:top w:val="nil"/>
                <w:left w:val="nil"/>
                <w:bottom w:val="nil"/>
                <w:right w:val="nil"/>
                <w:between w:val="nil"/>
              </w:pBdr>
              <w:spacing w:after="120"/>
              <w:ind w:right="-29"/>
              <w:rPr>
                <w:rFonts w:ascii="Calibri" w:eastAsia="Calibri" w:hAnsi="Calibri" w:cs="Calibri"/>
                <w:b/>
                <w:i/>
                <w:sz w:val="22"/>
                <w:szCs w:val="22"/>
              </w:rPr>
            </w:pPr>
            <w:r>
              <w:rPr>
                <w:rFonts w:ascii="Calibri" w:eastAsia="Calibri" w:hAnsi="Calibri" w:cs="Calibri"/>
                <w:i/>
                <w:sz w:val="22"/>
                <w:szCs w:val="22"/>
              </w:rPr>
              <w:t>A training session with the assistants of the UN Agency HACT Focal Point will be organized within the next month.</w:t>
            </w:r>
          </w:p>
        </w:tc>
      </w:tr>
      <w:tr w:rsidR="004463E3" w14:paraId="6DF1B4E4"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0AE139E5"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7D76CD12" w14:textId="77777777" w:rsidR="004463E3" w:rsidRDefault="00190C9A">
            <w:pPr>
              <w:spacing w:after="120"/>
              <w:rPr>
                <w:rFonts w:ascii="Calibri" w:eastAsia="Calibri" w:hAnsi="Calibri" w:cs="Calibri"/>
                <w:b/>
                <w:sz w:val="22"/>
                <w:szCs w:val="22"/>
              </w:rPr>
            </w:pPr>
            <w:r>
              <w:rPr>
                <w:rFonts w:ascii="Calibri" w:eastAsia="Calibri" w:hAnsi="Calibri" w:cs="Calibri"/>
                <w:b/>
                <w:sz w:val="22"/>
                <w:szCs w:val="22"/>
              </w:rPr>
              <w:t>Etc</w:t>
            </w:r>
          </w:p>
        </w:tc>
        <w:tc>
          <w:tcPr>
            <w:tcW w:w="5042" w:type="dxa"/>
            <w:tcBorders>
              <w:top w:val="single" w:sz="4" w:space="0" w:color="000000"/>
              <w:left w:val="single" w:sz="4" w:space="0" w:color="000000"/>
              <w:bottom w:val="single" w:sz="4" w:space="0" w:color="000000"/>
              <w:right w:val="single" w:sz="4" w:space="0" w:color="000000"/>
            </w:tcBorders>
          </w:tcPr>
          <w:p w14:paraId="51A6254C" w14:textId="77777777" w:rsidR="004463E3" w:rsidRDefault="004463E3">
            <w:pPr>
              <w:spacing w:after="120"/>
              <w:rPr>
                <w:rFonts w:ascii="Calibri" w:eastAsia="Calibri" w:hAnsi="Calibri" w:cs="Calibri"/>
                <w:sz w:val="22"/>
                <w:szCs w:val="22"/>
              </w:rPr>
            </w:pPr>
          </w:p>
        </w:tc>
      </w:tr>
      <w:tr w:rsidR="004463E3" w14:paraId="29BF3931"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6CB57853"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08D5FEC4"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149B6D5D" w14:textId="77777777" w:rsidR="004463E3" w:rsidRDefault="004463E3">
            <w:pPr>
              <w:spacing w:after="120"/>
              <w:rPr>
                <w:rFonts w:ascii="Calibri" w:eastAsia="Calibri" w:hAnsi="Calibri" w:cs="Calibri"/>
                <w:sz w:val="22"/>
                <w:szCs w:val="22"/>
              </w:rPr>
            </w:pPr>
          </w:p>
        </w:tc>
      </w:tr>
      <w:tr w:rsidR="004463E3" w14:paraId="08D0F846"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2801CD51"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682E5EF6"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55FDE898" w14:textId="77777777" w:rsidR="004463E3" w:rsidRDefault="004463E3">
            <w:pPr>
              <w:spacing w:after="120"/>
              <w:rPr>
                <w:rFonts w:ascii="Calibri" w:eastAsia="Calibri" w:hAnsi="Calibri" w:cs="Calibri"/>
                <w:sz w:val="22"/>
                <w:szCs w:val="22"/>
              </w:rPr>
            </w:pPr>
          </w:p>
        </w:tc>
      </w:tr>
      <w:tr w:rsidR="004463E3" w14:paraId="339264DA"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53D13BDE"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1CF29475"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21361A0F" w14:textId="77777777" w:rsidR="004463E3" w:rsidRDefault="004463E3">
            <w:pPr>
              <w:spacing w:after="120"/>
              <w:rPr>
                <w:rFonts w:ascii="Calibri" w:eastAsia="Calibri" w:hAnsi="Calibri" w:cs="Calibri"/>
                <w:sz w:val="22"/>
                <w:szCs w:val="22"/>
              </w:rPr>
            </w:pPr>
          </w:p>
        </w:tc>
      </w:tr>
    </w:tbl>
    <w:p w14:paraId="1233C9E7" w14:textId="77777777" w:rsidR="004463E3" w:rsidRDefault="004463E3">
      <w:pPr>
        <w:rPr>
          <w:rFonts w:ascii="Calibri" w:eastAsia="Calibri" w:hAnsi="Calibri" w:cs="Calibri"/>
          <w:i/>
          <w:sz w:val="22"/>
          <w:szCs w:val="22"/>
        </w:rPr>
      </w:pPr>
    </w:p>
    <w:p w14:paraId="67D55A10" w14:textId="77777777" w:rsidR="004463E3" w:rsidRDefault="004463E3">
      <w:pPr>
        <w:spacing w:after="0"/>
        <w:jc w:val="left"/>
        <w:rPr>
          <w:rFonts w:ascii="Calibri" w:eastAsia="Calibri" w:hAnsi="Calibri" w:cs="Calibri"/>
          <w:b/>
          <w:sz w:val="22"/>
          <w:szCs w:val="22"/>
        </w:rPr>
      </w:pPr>
    </w:p>
    <w:p w14:paraId="323AAC00" w14:textId="77777777" w:rsidR="00F64822" w:rsidRDefault="00190C9A">
      <w:pPr>
        <w:spacing w:after="0"/>
        <w:jc w:val="left"/>
      </w:pPr>
      <w:r>
        <w:br w:type="page"/>
      </w:r>
    </w:p>
    <w:p w14:paraId="2AFD5FC9" w14:textId="592F76AC" w:rsidR="00F64822" w:rsidRDefault="00F64822" w:rsidP="00F64822">
      <w:pPr>
        <w:spacing w:after="0"/>
        <w:jc w:val="left"/>
        <w:rPr>
          <w:rFonts w:ascii="Calibri" w:eastAsia="Calibri" w:hAnsi="Calibri" w:cs="Calibri"/>
          <w:b/>
          <w:sz w:val="22"/>
          <w:szCs w:val="22"/>
        </w:rPr>
      </w:pPr>
      <w:r>
        <w:rPr>
          <w:rFonts w:ascii="Calibri" w:eastAsia="Calibri" w:hAnsi="Calibri" w:cs="Calibri"/>
          <w:b/>
          <w:sz w:val="22"/>
          <w:szCs w:val="22"/>
        </w:rPr>
        <w:t>Annex I. Micro Assessment Questionnaire</w:t>
      </w:r>
    </w:p>
    <w:p w14:paraId="55505CB0" w14:textId="77777777" w:rsidR="00F64822" w:rsidRDefault="00F64822" w:rsidP="00F64822">
      <w:pPr>
        <w:rPr>
          <w:rFonts w:ascii="Calibri" w:eastAsia="Calibri" w:hAnsi="Calibri" w:cs="Calibri"/>
          <w:b/>
          <w:sz w:val="22"/>
          <w:szCs w:val="22"/>
        </w:rPr>
      </w:pPr>
    </w:p>
    <w:p w14:paraId="0700AE66" w14:textId="2501CC3C" w:rsidR="00F64822" w:rsidRDefault="00F64822" w:rsidP="00F64822">
      <w:pPr>
        <w:rPr>
          <w:rFonts w:ascii="Calibri" w:eastAsia="Calibri" w:hAnsi="Calibri" w:cs="Calibri"/>
          <w:sz w:val="22"/>
          <w:szCs w:val="22"/>
        </w:rPr>
      </w:pPr>
      <w:r>
        <w:rPr>
          <w:rFonts w:ascii="Calibri" w:eastAsia="Calibri" w:hAnsi="Calibri" w:cs="Calibri"/>
          <w:sz w:val="22"/>
          <w:szCs w:val="22"/>
        </w:rPr>
        <w:t>Include here the completed questionnaire.</w:t>
      </w:r>
    </w:p>
    <w:p w14:paraId="69382C03" w14:textId="77777777" w:rsidR="00F64822" w:rsidRDefault="00F64822">
      <w:pPr>
        <w:spacing w:after="0"/>
        <w:jc w:val="left"/>
        <w:rPr>
          <w:rFonts w:ascii="Calibri" w:eastAsia="Calibri" w:hAnsi="Calibri" w:cs="Calibri"/>
          <w:b/>
          <w:sz w:val="22"/>
          <w:szCs w:val="22"/>
        </w:rPr>
      </w:pPr>
    </w:p>
    <w:p w14:paraId="4E938434" w14:textId="77777777" w:rsidR="00F64822" w:rsidRDefault="00F64822">
      <w:pPr>
        <w:rPr>
          <w:rFonts w:ascii="Calibri" w:eastAsia="Calibri" w:hAnsi="Calibri" w:cs="Calibri"/>
          <w:b/>
          <w:sz w:val="22"/>
          <w:szCs w:val="22"/>
        </w:rPr>
      </w:pPr>
      <w:r>
        <w:rPr>
          <w:rFonts w:ascii="Calibri" w:eastAsia="Calibri" w:hAnsi="Calibri" w:cs="Calibri"/>
          <w:b/>
          <w:sz w:val="22"/>
          <w:szCs w:val="22"/>
        </w:rPr>
        <w:br w:type="page"/>
      </w:r>
    </w:p>
    <w:p w14:paraId="7EED0C06" w14:textId="0C4397FC" w:rsidR="004463E3" w:rsidRDefault="00190C9A">
      <w:pPr>
        <w:spacing w:after="0"/>
        <w:jc w:val="left"/>
        <w:rPr>
          <w:rFonts w:ascii="Calibri" w:eastAsia="Calibri" w:hAnsi="Calibri" w:cs="Calibri"/>
          <w:b/>
          <w:sz w:val="22"/>
          <w:szCs w:val="22"/>
        </w:rPr>
      </w:pPr>
      <w:r>
        <w:rPr>
          <w:rFonts w:ascii="Calibri" w:eastAsia="Calibri" w:hAnsi="Calibri" w:cs="Calibri"/>
          <w:b/>
          <w:sz w:val="22"/>
          <w:szCs w:val="22"/>
        </w:rPr>
        <w:t xml:space="preserve">Annex </w:t>
      </w:r>
      <w:r w:rsidR="00F64822">
        <w:rPr>
          <w:rFonts w:ascii="Calibri" w:eastAsia="Calibri" w:hAnsi="Calibri" w:cs="Calibri"/>
          <w:b/>
          <w:sz w:val="22"/>
          <w:szCs w:val="22"/>
        </w:rPr>
        <w:t>I</w:t>
      </w:r>
      <w:r>
        <w:rPr>
          <w:rFonts w:ascii="Calibri" w:eastAsia="Calibri" w:hAnsi="Calibri" w:cs="Calibri"/>
          <w:b/>
          <w:sz w:val="22"/>
          <w:szCs w:val="22"/>
        </w:rPr>
        <w:t>I. IP and Programme Information</w:t>
      </w:r>
    </w:p>
    <w:p w14:paraId="66F337D1" w14:textId="77777777" w:rsidR="004463E3" w:rsidRDefault="004463E3">
      <w:pPr>
        <w:pBdr>
          <w:top w:val="nil"/>
          <w:left w:val="nil"/>
          <w:bottom w:val="nil"/>
          <w:right w:val="nil"/>
          <w:between w:val="nil"/>
        </w:pBdr>
        <w:spacing w:after="200"/>
        <w:rPr>
          <w:rFonts w:ascii="Calibri" w:eastAsia="Calibri" w:hAnsi="Calibri" w:cs="Calibri"/>
          <w:sz w:val="22"/>
          <w:szCs w:val="22"/>
        </w:rPr>
      </w:pPr>
    </w:p>
    <w:tbl>
      <w:tblPr>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00" w:firstRow="0" w:lastRow="0" w:firstColumn="0" w:lastColumn="0" w:noHBand="0" w:noVBand="1"/>
      </w:tblPr>
      <w:tblGrid>
        <w:gridCol w:w="4594"/>
        <w:gridCol w:w="4396"/>
      </w:tblGrid>
      <w:tr w:rsidR="004463E3" w14:paraId="3F14BEB5" w14:textId="77777777">
        <w:tc>
          <w:tcPr>
            <w:tcW w:w="4594" w:type="dxa"/>
          </w:tcPr>
          <w:p w14:paraId="1BB12DA9" w14:textId="77777777" w:rsidR="004463E3" w:rsidRDefault="00190C9A">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Implementing partner name:</w:t>
            </w:r>
          </w:p>
        </w:tc>
        <w:tc>
          <w:tcPr>
            <w:tcW w:w="4396" w:type="dxa"/>
          </w:tcPr>
          <w:p w14:paraId="773172F9"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29133DBE" w14:textId="77777777">
        <w:tc>
          <w:tcPr>
            <w:tcW w:w="4594" w:type="dxa"/>
          </w:tcPr>
          <w:p w14:paraId="19E4F029" w14:textId="77777777" w:rsidR="004463E3" w:rsidRDefault="00190C9A">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Implementing partner code or ID in UNICEF, UNDP, UNFPA records (as applicable)</w:t>
            </w:r>
          </w:p>
        </w:tc>
        <w:tc>
          <w:tcPr>
            <w:tcW w:w="4396" w:type="dxa"/>
          </w:tcPr>
          <w:p w14:paraId="7EDE1687"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7F5CC7E2" w14:textId="77777777">
        <w:tc>
          <w:tcPr>
            <w:tcW w:w="4594" w:type="dxa"/>
          </w:tcPr>
          <w:p w14:paraId="62346FDF" w14:textId="77777777" w:rsidR="004463E3" w:rsidRDefault="00190C9A">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Implementing partner contact details (contact name, email address and telephone number):</w:t>
            </w:r>
          </w:p>
        </w:tc>
        <w:tc>
          <w:tcPr>
            <w:tcW w:w="4396" w:type="dxa"/>
          </w:tcPr>
          <w:p w14:paraId="10B4B3A7"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60351B92" w14:textId="77777777">
        <w:tc>
          <w:tcPr>
            <w:tcW w:w="4594" w:type="dxa"/>
          </w:tcPr>
          <w:p w14:paraId="256D2E7A" w14:textId="77777777" w:rsidR="004463E3" w:rsidRDefault="00190C9A">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Main programmes implemented with the applicable UN Agency/ies:</w:t>
            </w:r>
          </w:p>
        </w:tc>
        <w:tc>
          <w:tcPr>
            <w:tcW w:w="4396" w:type="dxa"/>
          </w:tcPr>
          <w:p w14:paraId="689CBE15"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125482C3" w14:textId="77777777">
        <w:tc>
          <w:tcPr>
            <w:tcW w:w="4594" w:type="dxa"/>
          </w:tcPr>
          <w:p w14:paraId="706F981D" w14:textId="77777777" w:rsidR="004463E3" w:rsidRDefault="00190C9A">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Key Official in charge of the UN Agency/ies’ prorgamme(s):</w:t>
            </w:r>
          </w:p>
        </w:tc>
        <w:tc>
          <w:tcPr>
            <w:tcW w:w="4396" w:type="dxa"/>
          </w:tcPr>
          <w:p w14:paraId="042B75D8"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71B37E87" w14:textId="77777777">
        <w:tc>
          <w:tcPr>
            <w:tcW w:w="4594" w:type="dxa"/>
          </w:tcPr>
          <w:p w14:paraId="4F293B85" w14:textId="77777777" w:rsidR="004463E3" w:rsidRDefault="00190C9A">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Programme location(s):</w:t>
            </w:r>
          </w:p>
        </w:tc>
        <w:tc>
          <w:tcPr>
            <w:tcW w:w="4396" w:type="dxa"/>
          </w:tcPr>
          <w:p w14:paraId="7BDD3E7F"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03B4C064" w14:textId="77777777">
        <w:tc>
          <w:tcPr>
            <w:tcW w:w="4594" w:type="dxa"/>
          </w:tcPr>
          <w:p w14:paraId="0E09EC92" w14:textId="77777777" w:rsidR="004463E3" w:rsidRDefault="00190C9A">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Location of records related to the UN Agency/ies’ prorgamme(s):</w:t>
            </w:r>
          </w:p>
        </w:tc>
        <w:tc>
          <w:tcPr>
            <w:tcW w:w="4396" w:type="dxa"/>
          </w:tcPr>
          <w:p w14:paraId="2DC54354"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05BC1586" w14:textId="77777777">
        <w:tc>
          <w:tcPr>
            <w:tcW w:w="4594" w:type="dxa"/>
          </w:tcPr>
          <w:p w14:paraId="48456BC2" w14:textId="77777777" w:rsidR="004463E3" w:rsidRDefault="00190C9A">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Currency of records maintained:</w:t>
            </w:r>
          </w:p>
        </w:tc>
        <w:tc>
          <w:tcPr>
            <w:tcW w:w="4396" w:type="dxa"/>
          </w:tcPr>
          <w:p w14:paraId="2A43CA7E"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4A31A1C4" w14:textId="77777777">
        <w:tc>
          <w:tcPr>
            <w:tcW w:w="4594" w:type="dxa"/>
          </w:tcPr>
          <w:p w14:paraId="1B926FAD" w14:textId="77777777" w:rsidR="004463E3" w:rsidRDefault="00190C9A">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Expenditures incurred/reported to UNICEF, UNDP and UNFPA (as applicable) during the most recent financial reporting period (in US$);</w:t>
            </w:r>
          </w:p>
        </w:tc>
        <w:tc>
          <w:tcPr>
            <w:tcW w:w="4396" w:type="dxa"/>
          </w:tcPr>
          <w:p w14:paraId="5BD309F3"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25116C0C" w14:textId="77777777">
        <w:tc>
          <w:tcPr>
            <w:tcW w:w="4594" w:type="dxa"/>
          </w:tcPr>
          <w:p w14:paraId="6D17CB05" w14:textId="77777777" w:rsidR="004463E3" w:rsidRDefault="00190C9A">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Cash transfer modality/ies used by the UN agency/ies to the IP</w:t>
            </w:r>
          </w:p>
        </w:tc>
        <w:tc>
          <w:tcPr>
            <w:tcW w:w="4396" w:type="dxa"/>
          </w:tcPr>
          <w:p w14:paraId="44D47175"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02EB5F67" w14:textId="77777777">
        <w:tc>
          <w:tcPr>
            <w:tcW w:w="4594" w:type="dxa"/>
          </w:tcPr>
          <w:p w14:paraId="286ADA55" w14:textId="77777777" w:rsidR="004463E3" w:rsidRDefault="00190C9A">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Intended start date of micro assessment:</w:t>
            </w:r>
          </w:p>
        </w:tc>
        <w:tc>
          <w:tcPr>
            <w:tcW w:w="4396" w:type="dxa"/>
          </w:tcPr>
          <w:p w14:paraId="2646BDC8"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4625780C" w14:textId="77777777">
        <w:tc>
          <w:tcPr>
            <w:tcW w:w="4594" w:type="dxa"/>
          </w:tcPr>
          <w:p w14:paraId="1AB7994F" w14:textId="77777777" w:rsidR="004463E3" w:rsidRDefault="00190C9A">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Number of days to be spent for visit to IP:</w:t>
            </w:r>
          </w:p>
        </w:tc>
        <w:tc>
          <w:tcPr>
            <w:tcW w:w="4396" w:type="dxa"/>
          </w:tcPr>
          <w:p w14:paraId="10812998"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4F42FBFA" w14:textId="77777777">
        <w:tc>
          <w:tcPr>
            <w:tcW w:w="4594" w:type="dxa"/>
          </w:tcPr>
          <w:p w14:paraId="267B374F" w14:textId="77777777" w:rsidR="004463E3" w:rsidRDefault="00190C9A">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Any special requests to be considered during the micro assessment:</w:t>
            </w:r>
          </w:p>
        </w:tc>
        <w:tc>
          <w:tcPr>
            <w:tcW w:w="4396" w:type="dxa"/>
          </w:tcPr>
          <w:p w14:paraId="60058818"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bl>
    <w:p w14:paraId="57C977F1" w14:textId="77777777" w:rsidR="004463E3" w:rsidRDefault="00190C9A">
      <w:pPr>
        <w:spacing w:after="0"/>
        <w:jc w:val="left"/>
        <w:rPr>
          <w:rFonts w:ascii="Calibri" w:eastAsia="Calibri" w:hAnsi="Calibri" w:cs="Calibri"/>
          <w:b/>
          <w:sz w:val="22"/>
          <w:szCs w:val="22"/>
        </w:rPr>
      </w:pPr>
      <w:r>
        <w:br w:type="page"/>
      </w:r>
    </w:p>
    <w:p w14:paraId="670B3563" w14:textId="2C5BD726" w:rsidR="004463E3" w:rsidRDefault="00190C9A">
      <w:pPr>
        <w:spacing w:after="0"/>
        <w:jc w:val="left"/>
        <w:rPr>
          <w:rFonts w:ascii="Calibri" w:eastAsia="Calibri" w:hAnsi="Calibri" w:cs="Calibri"/>
          <w:b/>
          <w:sz w:val="22"/>
          <w:szCs w:val="22"/>
        </w:rPr>
      </w:pPr>
      <w:bookmarkStart w:id="2" w:name="_heading=h.1fob9te" w:colFirst="0" w:colLast="0"/>
      <w:bookmarkEnd w:id="2"/>
      <w:r>
        <w:rPr>
          <w:rFonts w:ascii="Calibri" w:eastAsia="Calibri" w:hAnsi="Calibri" w:cs="Calibri"/>
          <w:b/>
          <w:sz w:val="22"/>
          <w:szCs w:val="22"/>
        </w:rPr>
        <w:t>Annex II</w:t>
      </w:r>
      <w:r w:rsidR="009338D6">
        <w:rPr>
          <w:rFonts w:ascii="Calibri" w:eastAsia="Calibri" w:hAnsi="Calibri" w:cs="Calibri"/>
          <w:b/>
          <w:sz w:val="22"/>
          <w:szCs w:val="22"/>
        </w:rPr>
        <w:t>I</w:t>
      </w:r>
      <w:r>
        <w:rPr>
          <w:rFonts w:ascii="Calibri" w:eastAsia="Calibri" w:hAnsi="Calibri" w:cs="Calibri"/>
          <w:b/>
          <w:sz w:val="22"/>
          <w:szCs w:val="22"/>
        </w:rPr>
        <w:t>. Implementing Partner Organizational Chart</w:t>
      </w:r>
    </w:p>
    <w:p w14:paraId="340BF2D4" w14:textId="77777777" w:rsidR="004463E3" w:rsidRDefault="00190C9A">
      <w:pPr>
        <w:spacing w:after="0"/>
        <w:jc w:val="left"/>
        <w:rPr>
          <w:rFonts w:ascii="Calibri" w:eastAsia="Calibri" w:hAnsi="Calibri" w:cs="Calibri"/>
          <w:sz w:val="22"/>
          <w:szCs w:val="22"/>
        </w:rPr>
      </w:pPr>
      <w:r>
        <w:br w:type="page"/>
      </w:r>
    </w:p>
    <w:p w14:paraId="496F7D04" w14:textId="21DB7B3D" w:rsidR="004463E3" w:rsidRDefault="00190C9A">
      <w:pPr>
        <w:rPr>
          <w:rFonts w:ascii="Calibri" w:eastAsia="Calibri" w:hAnsi="Calibri" w:cs="Calibri"/>
          <w:b/>
          <w:i/>
          <w:sz w:val="22"/>
          <w:szCs w:val="22"/>
        </w:rPr>
      </w:pPr>
      <w:r>
        <w:rPr>
          <w:rFonts w:ascii="Calibri" w:eastAsia="Calibri" w:hAnsi="Calibri" w:cs="Calibri"/>
          <w:b/>
          <w:sz w:val="22"/>
          <w:szCs w:val="22"/>
        </w:rPr>
        <w:t>Annex I</w:t>
      </w:r>
      <w:r w:rsidR="009338D6">
        <w:rPr>
          <w:rFonts w:ascii="Calibri" w:eastAsia="Calibri" w:hAnsi="Calibri" w:cs="Calibri"/>
          <w:b/>
          <w:sz w:val="22"/>
          <w:szCs w:val="22"/>
        </w:rPr>
        <w:t>V</w:t>
      </w:r>
      <w:r>
        <w:rPr>
          <w:rFonts w:ascii="Calibri" w:eastAsia="Calibri" w:hAnsi="Calibri" w:cs="Calibri"/>
          <w:b/>
          <w:sz w:val="22"/>
          <w:szCs w:val="22"/>
        </w:rPr>
        <w:t>. List of Persons Met</w:t>
      </w:r>
    </w:p>
    <w:tbl>
      <w:tblPr>
        <w:tblW w:w="899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1"/>
        <w:gridCol w:w="3039"/>
        <w:gridCol w:w="2985"/>
      </w:tblGrid>
      <w:tr w:rsidR="004463E3" w14:paraId="6E0E3A30" w14:textId="77777777">
        <w:tc>
          <w:tcPr>
            <w:tcW w:w="2971" w:type="dxa"/>
            <w:tcBorders>
              <w:top w:val="single" w:sz="4" w:space="0" w:color="000000"/>
              <w:left w:val="single" w:sz="4" w:space="0" w:color="000000"/>
              <w:bottom w:val="single" w:sz="4" w:space="0" w:color="000000"/>
              <w:right w:val="single" w:sz="4" w:space="0" w:color="000000"/>
            </w:tcBorders>
          </w:tcPr>
          <w:p w14:paraId="551BDFAA" w14:textId="77777777" w:rsidR="004463E3" w:rsidRDefault="00190C9A">
            <w:pPr>
              <w:spacing w:after="0"/>
              <w:rPr>
                <w:rFonts w:ascii="Calibri" w:eastAsia="Calibri" w:hAnsi="Calibri" w:cs="Calibri"/>
                <w:b/>
                <w:sz w:val="22"/>
                <w:szCs w:val="22"/>
              </w:rPr>
            </w:pPr>
            <w:r>
              <w:rPr>
                <w:rFonts w:ascii="Calibri" w:eastAsia="Calibri" w:hAnsi="Calibri" w:cs="Calibri"/>
                <w:b/>
                <w:sz w:val="22"/>
                <w:szCs w:val="22"/>
              </w:rPr>
              <w:t>Name</w:t>
            </w:r>
          </w:p>
        </w:tc>
        <w:tc>
          <w:tcPr>
            <w:tcW w:w="3039" w:type="dxa"/>
            <w:tcBorders>
              <w:top w:val="single" w:sz="4" w:space="0" w:color="000000"/>
              <w:left w:val="single" w:sz="4" w:space="0" w:color="000000"/>
              <w:bottom w:val="single" w:sz="4" w:space="0" w:color="000000"/>
              <w:right w:val="single" w:sz="4" w:space="0" w:color="000000"/>
            </w:tcBorders>
          </w:tcPr>
          <w:p w14:paraId="2960551A" w14:textId="77777777" w:rsidR="004463E3" w:rsidRDefault="00190C9A">
            <w:pPr>
              <w:spacing w:after="0"/>
              <w:rPr>
                <w:rFonts w:ascii="Calibri" w:eastAsia="Calibri" w:hAnsi="Calibri" w:cs="Calibri"/>
                <w:b/>
                <w:sz w:val="22"/>
                <w:szCs w:val="22"/>
              </w:rPr>
            </w:pPr>
            <w:r>
              <w:rPr>
                <w:rFonts w:ascii="Calibri" w:eastAsia="Calibri" w:hAnsi="Calibri" w:cs="Calibri"/>
                <w:b/>
                <w:sz w:val="22"/>
                <w:szCs w:val="22"/>
              </w:rPr>
              <w:t>Unit/organization</w:t>
            </w:r>
          </w:p>
        </w:tc>
        <w:tc>
          <w:tcPr>
            <w:tcW w:w="2985" w:type="dxa"/>
            <w:tcBorders>
              <w:top w:val="single" w:sz="4" w:space="0" w:color="000000"/>
              <w:left w:val="single" w:sz="4" w:space="0" w:color="000000"/>
              <w:bottom w:val="single" w:sz="4" w:space="0" w:color="000000"/>
              <w:right w:val="single" w:sz="4" w:space="0" w:color="000000"/>
            </w:tcBorders>
          </w:tcPr>
          <w:p w14:paraId="6FAD7FD6" w14:textId="77777777" w:rsidR="004463E3" w:rsidRDefault="00190C9A">
            <w:pPr>
              <w:spacing w:after="0"/>
              <w:rPr>
                <w:rFonts w:ascii="Calibri" w:eastAsia="Calibri" w:hAnsi="Calibri" w:cs="Calibri"/>
                <w:b/>
                <w:sz w:val="22"/>
                <w:szCs w:val="22"/>
              </w:rPr>
            </w:pPr>
            <w:r>
              <w:rPr>
                <w:rFonts w:ascii="Calibri" w:eastAsia="Calibri" w:hAnsi="Calibri" w:cs="Calibri"/>
                <w:b/>
                <w:sz w:val="22"/>
                <w:szCs w:val="22"/>
              </w:rPr>
              <w:t>Position</w:t>
            </w:r>
          </w:p>
        </w:tc>
      </w:tr>
      <w:tr w:rsidR="004463E3" w14:paraId="3A088431" w14:textId="77777777">
        <w:tc>
          <w:tcPr>
            <w:tcW w:w="2971" w:type="dxa"/>
            <w:tcBorders>
              <w:top w:val="single" w:sz="4" w:space="0" w:color="000000"/>
              <w:left w:val="single" w:sz="4" w:space="0" w:color="000000"/>
              <w:bottom w:val="single" w:sz="4" w:space="0" w:color="000000"/>
              <w:right w:val="single" w:sz="4" w:space="0" w:color="000000"/>
            </w:tcBorders>
          </w:tcPr>
          <w:p w14:paraId="32DB309C"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1DE49D2D"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666E8C48" w14:textId="77777777" w:rsidR="004463E3" w:rsidRDefault="004463E3">
            <w:pPr>
              <w:spacing w:after="0"/>
              <w:rPr>
                <w:rFonts w:ascii="Calibri" w:eastAsia="Calibri" w:hAnsi="Calibri" w:cs="Calibri"/>
                <w:b/>
                <w:sz w:val="22"/>
                <w:szCs w:val="22"/>
              </w:rPr>
            </w:pPr>
          </w:p>
        </w:tc>
      </w:tr>
      <w:tr w:rsidR="004463E3" w14:paraId="4756636A" w14:textId="77777777">
        <w:tc>
          <w:tcPr>
            <w:tcW w:w="2971" w:type="dxa"/>
            <w:tcBorders>
              <w:top w:val="single" w:sz="4" w:space="0" w:color="000000"/>
              <w:left w:val="single" w:sz="4" w:space="0" w:color="000000"/>
              <w:bottom w:val="single" w:sz="4" w:space="0" w:color="000000"/>
              <w:right w:val="single" w:sz="4" w:space="0" w:color="000000"/>
            </w:tcBorders>
          </w:tcPr>
          <w:p w14:paraId="73C42410"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46A878F7"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48357F03" w14:textId="77777777" w:rsidR="004463E3" w:rsidRDefault="004463E3">
            <w:pPr>
              <w:spacing w:after="0"/>
              <w:rPr>
                <w:rFonts w:ascii="Calibri" w:eastAsia="Calibri" w:hAnsi="Calibri" w:cs="Calibri"/>
                <w:b/>
                <w:sz w:val="22"/>
                <w:szCs w:val="22"/>
              </w:rPr>
            </w:pPr>
          </w:p>
        </w:tc>
      </w:tr>
      <w:tr w:rsidR="004463E3" w14:paraId="16C1F362" w14:textId="77777777">
        <w:tc>
          <w:tcPr>
            <w:tcW w:w="2971" w:type="dxa"/>
            <w:tcBorders>
              <w:top w:val="single" w:sz="4" w:space="0" w:color="000000"/>
              <w:left w:val="single" w:sz="4" w:space="0" w:color="000000"/>
              <w:bottom w:val="single" w:sz="4" w:space="0" w:color="000000"/>
              <w:right w:val="single" w:sz="4" w:space="0" w:color="000000"/>
            </w:tcBorders>
          </w:tcPr>
          <w:p w14:paraId="5830C4BB"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61F81100"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04B10964" w14:textId="77777777" w:rsidR="004463E3" w:rsidRDefault="004463E3">
            <w:pPr>
              <w:spacing w:after="0"/>
              <w:rPr>
                <w:rFonts w:ascii="Calibri" w:eastAsia="Calibri" w:hAnsi="Calibri" w:cs="Calibri"/>
                <w:b/>
                <w:sz w:val="22"/>
                <w:szCs w:val="22"/>
              </w:rPr>
            </w:pPr>
          </w:p>
        </w:tc>
      </w:tr>
      <w:tr w:rsidR="004463E3" w14:paraId="10FC10DF" w14:textId="77777777">
        <w:tc>
          <w:tcPr>
            <w:tcW w:w="2971" w:type="dxa"/>
            <w:tcBorders>
              <w:top w:val="single" w:sz="4" w:space="0" w:color="000000"/>
              <w:left w:val="single" w:sz="4" w:space="0" w:color="000000"/>
              <w:bottom w:val="single" w:sz="4" w:space="0" w:color="000000"/>
              <w:right w:val="single" w:sz="4" w:space="0" w:color="000000"/>
            </w:tcBorders>
          </w:tcPr>
          <w:p w14:paraId="29A2B6F7"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6251FCB1"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7E57FFC4" w14:textId="77777777" w:rsidR="004463E3" w:rsidRDefault="004463E3">
            <w:pPr>
              <w:spacing w:after="0"/>
              <w:rPr>
                <w:rFonts w:ascii="Calibri" w:eastAsia="Calibri" w:hAnsi="Calibri" w:cs="Calibri"/>
                <w:b/>
                <w:sz w:val="22"/>
                <w:szCs w:val="22"/>
              </w:rPr>
            </w:pPr>
          </w:p>
        </w:tc>
      </w:tr>
    </w:tbl>
    <w:p w14:paraId="30270D6E" w14:textId="29DFA1F7" w:rsidR="004463E3" w:rsidRDefault="004463E3">
      <w:pPr>
        <w:spacing w:after="0"/>
        <w:jc w:val="left"/>
        <w:rPr>
          <w:rFonts w:ascii="Calibri" w:eastAsia="Calibri" w:hAnsi="Calibri" w:cs="Calibri"/>
          <w:b/>
          <w:sz w:val="22"/>
          <w:szCs w:val="22"/>
        </w:rPr>
      </w:pPr>
    </w:p>
    <w:sectPr w:rsidR="004463E3">
      <w:footerReference w:type="default" r:id="rId12"/>
      <w:pgSz w:w="11909" w:h="16834"/>
      <w:pgMar w:top="1440" w:right="1469"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CAFB" w14:textId="77777777" w:rsidR="00780BBF" w:rsidRDefault="00780BBF">
      <w:pPr>
        <w:spacing w:after="0"/>
      </w:pPr>
      <w:r>
        <w:separator/>
      </w:r>
    </w:p>
  </w:endnote>
  <w:endnote w:type="continuationSeparator" w:id="0">
    <w:p w14:paraId="2F60FBC8" w14:textId="77777777" w:rsidR="00780BBF" w:rsidRDefault="00780BBF">
      <w:pPr>
        <w:spacing w:after="0"/>
      </w:pPr>
      <w:r>
        <w:continuationSeparator/>
      </w:r>
    </w:p>
  </w:endnote>
  <w:endnote w:type="continuationNotice" w:id="1">
    <w:p w14:paraId="6534837B" w14:textId="77777777" w:rsidR="00780BBF" w:rsidRDefault="00780B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45 Light">
    <w:altName w:val="Calibri"/>
    <w:charset w:val="00"/>
    <w:family w:val="auto"/>
    <w:pitch w:val="variable"/>
    <w:sig w:usb0="80000023" w:usb1="00000000" w:usb2="00000000" w:usb3="00000000" w:csb0="00000001" w:csb1="00000000"/>
  </w:font>
  <w:font w:name="Lucida Gran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5360" w14:textId="77777777" w:rsidR="004463E3" w:rsidRDefault="00190C9A">
    <w:pPr>
      <w:pBdr>
        <w:top w:val="nil"/>
        <w:left w:val="nil"/>
        <w:bottom w:val="nil"/>
        <w:right w:val="nil"/>
        <w:between w:val="nil"/>
      </w:pBdr>
      <w:tabs>
        <w:tab w:val="center" w:pos="4680"/>
        <w:tab w:val="right" w:pos="9360"/>
      </w:tabs>
      <w:spacing w:after="0"/>
      <w:rPr>
        <w:rFonts w:ascii="Calibri" w:eastAsia="Calibri" w:hAnsi="Calibri" w:cs="Calibri"/>
        <w:sz w:val="20"/>
        <w:szCs w:val="20"/>
      </w:rPr>
    </w:pPr>
    <w:r>
      <w:rPr>
        <w:rFonts w:ascii="Calibri" w:eastAsia="Calibri" w:hAnsi="Calibri" w:cs="Calibri"/>
        <w:sz w:val="20"/>
        <w:szCs w:val="20"/>
      </w:rPr>
      <w:t>Issued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42C1" w14:textId="77777777" w:rsidR="00780BBF" w:rsidRDefault="00780BBF">
      <w:pPr>
        <w:spacing w:after="0"/>
      </w:pPr>
      <w:r>
        <w:separator/>
      </w:r>
    </w:p>
  </w:footnote>
  <w:footnote w:type="continuationSeparator" w:id="0">
    <w:p w14:paraId="47271F8D" w14:textId="77777777" w:rsidR="00780BBF" w:rsidRDefault="00780BBF">
      <w:pPr>
        <w:spacing w:after="0"/>
      </w:pPr>
      <w:r>
        <w:continuationSeparator/>
      </w:r>
    </w:p>
  </w:footnote>
  <w:footnote w:type="continuationNotice" w:id="1">
    <w:p w14:paraId="601BD650" w14:textId="77777777" w:rsidR="00780BBF" w:rsidRDefault="00780BBF">
      <w:pPr>
        <w:spacing w:after="0"/>
      </w:pPr>
    </w:p>
  </w:footnote>
  <w:footnote w:id="2">
    <w:p w14:paraId="4F35C2D3" w14:textId="77777777" w:rsidR="004463E3" w:rsidRDefault="00190C9A">
      <w:pPr>
        <w:pBdr>
          <w:top w:val="nil"/>
          <w:left w:val="nil"/>
          <w:bottom w:val="nil"/>
          <w:right w:val="nil"/>
          <w:between w:val="nil"/>
        </w:pBdr>
        <w:spacing w:after="0"/>
        <w:rPr>
          <w:sz w:val="20"/>
          <w:szCs w:val="20"/>
        </w:rPr>
      </w:pPr>
      <w:r>
        <w:rPr>
          <w:rStyle w:val="FootnoteReference"/>
        </w:rPr>
        <w:footnoteRef/>
      </w:r>
      <w:r>
        <w:rPr>
          <w:sz w:val="20"/>
          <w:szCs w:val="20"/>
        </w:rPr>
        <w:t xml:space="preserve"> </w:t>
      </w:r>
      <w:r>
        <w:rPr>
          <w:rFonts w:ascii="Calibri" w:eastAsia="Calibri" w:hAnsi="Calibri" w:cs="Calibri"/>
          <w:color w:val="222222"/>
          <w:sz w:val="20"/>
          <w:szCs w:val="20"/>
          <w:highlight w:val="white"/>
        </w:rPr>
        <w:t>Throughout agencies' policies and systems, "moderate" and "medium" may be used interchangeably to describe the risk rating between low and significant".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B08"/>
    <w:multiLevelType w:val="multilevel"/>
    <w:tmpl w:val="76E48DE2"/>
    <w:lvl w:ilvl="0">
      <w:start w:val="1"/>
      <w:numFmt w:val="decimal"/>
      <w:lvlText w:val="%1."/>
      <w:lvlJc w:val="left"/>
      <w:pPr>
        <w:ind w:left="720" w:hanging="360"/>
      </w:pPr>
    </w:lvl>
    <w:lvl w:ilvl="1">
      <w:start w:val="1"/>
      <w:numFmt w:val="lowerLetter"/>
      <w:pStyle w:val="MSBulletLevel2"/>
      <w:lvlText w:val="%2."/>
      <w:lvlJc w:val="left"/>
      <w:pPr>
        <w:ind w:left="1440" w:hanging="360"/>
      </w:pPr>
    </w:lvl>
    <w:lvl w:ilvl="2">
      <w:start w:val="1"/>
      <w:numFmt w:val="lowerRoman"/>
      <w:pStyle w:val="MSBullet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02774A"/>
    <w:multiLevelType w:val="multilevel"/>
    <w:tmpl w:val="25D2611E"/>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F601E6"/>
    <w:multiLevelType w:val="multilevel"/>
    <w:tmpl w:val="2D04778C"/>
    <w:lvl w:ilvl="0">
      <w:start w:val="1"/>
      <w:numFmt w:val="bullet"/>
      <w:lvlText w:val="●"/>
      <w:lvlJc w:val="left"/>
      <w:pPr>
        <w:ind w:left="360" w:hanging="360"/>
      </w:pPr>
      <w:rPr>
        <w:rFonts w:ascii="Noto Sans Symbols" w:eastAsia="Noto Sans Symbols" w:hAnsi="Noto Sans Symbols" w:cs="Noto Sans Symbols"/>
        <w:color w:val="000000"/>
        <w:u w:val="none"/>
      </w:rPr>
    </w:lvl>
    <w:lvl w:ilvl="1">
      <w:start w:val="1"/>
      <w:numFmt w:val="bullet"/>
      <w:pStyle w:val="Heading1"/>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3" w15:restartNumberingAfterBreak="0">
    <w:nsid w:val="270C261A"/>
    <w:multiLevelType w:val="multilevel"/>
    <w:tmpl w:val="D5164B50"/>
    <w:lvl w:ilvl="0">
      <w:start w:val="1"/>
      <w:numFmt w:val="decimal"/>
      <w:pStyle w:val="MSLetterLevel1"/>
      <w:lvlText w:val="%1."/>
      <w:lvlJc w:val="left"/>
      <w:pPr>
        <w:ind w:left="720" w:hanging="360"/>
      </w:pPr>
    </w:lvl>
    <w:lvl w:ilvl="1">
      <w:start w:val="1"/>
      <w:numFmt w:val="lowerLetter"/>
      <w:pStyle w:val="MSLetterLevel2"/>
      <w:lvlText w:val="%2."/>
      <w:lvlJc w:val="left"/>
      <w:pPr>
        <w:ind w:left="1440" w:hanging="360"/>
      </w:pPr>
    </w:lvl>
    <w:lvl w:ilvl="2">
      <w:start w:val="1"/>
      <w:numFmt w:val="lowerRoman"/>
      <w:pStyle w:val="MSLetter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145FB2"/>
    <w:multiLevelType w:val="multilevel"/>
    <w:tmpl w:val="D45C85A0"/>
    <w:lvl w:ilvl="0">
      <w:start w:val="1"/>
      <w:numFmt w:val="decimal"/>
      <w:pStyle w:val="MSBulletLeve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765556"/>
    <w:multiLevelType w:val="multilevel"/>
    <w:tmpl w:val="00C0480C"/>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ReportHead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003423"/>
    <w:multiLevelType w:val="multilevel"/>
    <w:tmpl w:val="CA269778"/>
    <w:lvl w:ilvl="0">
      <w:start w:val="1"/>
      <w:numFmt w:val="decimal"/>
      <w:pStyle w:val="ListNumber2"/>
      <w:lvlText w:val="Chapter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5291411A"/>
    <w:multiLevelType w:val="multilevel"/>
    <w:tmpl w:val="7F60EF6A"/>
    <w:lvl w:ilvl="0">
      <w:start w:val="1"/>
      <w:numFmt w:val="bullet"/>
      <w:pStyle w:val="MSHouseLevel1"/>
      <w:lvlText w:val="●"/>
      <w:lvlJc w:val="left"/>
      <w:pPr>
        <w:ind w:left="1080" w:hanging="360"/>
      </w:pPr>
      <w:rPr>
        <w:rFonts w:ascii="Noto Sans Symbols" w:eastAsia="Noto Sans Symbols" w:hAnsi="Noto Sans Symbols" w:cs="Noto Sans Symbols"/>
      </w:rPr>
    </w:lvl>
    <w:lvl w:ilvl="1">
      <w:start w:val="1"/>
      <w:numFmt w:val="bullet"/>
      <w:pStyle w:val="MSHouseLevel2"/>
      <w:lvlText w:val="o"/>
      <w:lvlJc w:val="left"/>
      <w:pPr>
        <w:ind w:left="1800" w:hanging="360"/>
      </w:pPr>
      <w:rPr>
        <w:rFonts w:ascii="Courier New" w:eastAsia="Courier New" w:hAnsi="Courier New" w:cs="Courier New"/>
      </w:rPr>
    </w:lvl>
    <w:lvl w:ilvl="2">
      <w:start w:val="1"/>
      <w:numFmt w:val="bullet"/>
      <w:pStyle w:val="MSHouseLevel3"/>
      <w:lvlText w:val="▪"/>
      <w:lvlJc w:val="left"/>
      <w:pPr>
        <w:ind w:left="2520" w:hanging="360"/>
      </w:pPr>
      <w:rPr>
        <w:rFonts w:ascii="Noto Sans Symbols" w:eastAsia="Noto Sans Symbols" w:hAnsi="Noto Sans Symbols" w:cs="Noto Sans Symbols"/>
      </w:rPr>
    </w:lvl>
    <w:lvl w:ilvl="3">
      <w:start w:val="1"/>
      <w:numFmt w:val="bullet"/>
      <w:pStyle w:val="MSHouseLevel4"/>
      <w:lvlText w:val="●"/>
      <w:lvlJc w:val="left"/>
      <w:pPr>
        <w:ind w:left="3240" w:hanging="360"/>
      </w:pPr>
      <w:rPr>
        <w:rFonts w:ascii="Noto Sans Symbols" w:eastAsia="Noto Sans Symbols" w:hAnsi="Noto Sans Symbols" w:cs="Noto Sans Symbols"/>
      </w:rPr>
    </w:lvl>
    <w:lvl w:ilvl="4">
      <w:start w:val="1"/>
      <w:numFmt w:val="bullet"/>
      <w:pStyle w:val="MSHouseLevel5"/>
      <w:lvlText w:val="o"/>
      <w:lvlJc w:val="left"/>
      <w:pPr>
        <w:ind w:left="3960" w:hanging="360"/>
      </w:pPr>
      <w:rPr>
        <w:rFonts w:ascii="Courier New" w:eastAsia="Courier New" w:hAnsi="Courier New" w:cs="Courier New"/>
      </w:rPr>
    </w:lvl>
    <w:lvl w:ilvl="5">
      <w:start w:val="1"/>
      <w:numFmt w:val="bullet"/>
      <w:pStyle w:val="MSHouseLevel6"/>
      <w:lvlText w:val="▪"/>
      <w:lvlJc w:val="left"/>
      <w:pPr>
        <w:ind w:left="4680" w:hanging="360"/>
      </w:pPr>
      <w:rPr>
        <w:rFonts w:ascii="Noto Sans Symbols" w:eastAsia="Noto Sans Symbols" w:hAnsi="Noto Sans Symbols" w:cs="Noto Sans Symbols"/>
      </w:rPr>
    </w:lvl>
    <w:lvl w:ilvl="6">
      <w:start w:val="1"/>
      <w:numFmt w:val="bullet"/>
      <w:pStyle w:val="MSHouseLevel7"/>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8FD3835"/>
    <w:multiLevelType w:val="multilevel"/>
    <w:tmpl w:val="2960B8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ReportHead6"/>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2318BB"/>
    <w:multiLevelType w:val="multilevel"/>
    <w:tmpl w:val="D3445056"/>
    <w:lvl w:ilvl="0">
      <w:start w:val="1"/>
      <w:numFmt w:val="bullet"/>
      <w:pStyle w:val="MSStandardLevel1"/>
      <w:lvlText w:val="●"/>
      <w:lvlJc w:val="left"/>
      <w:pPr>
        <w:ind w:left="720" w:hanging="360"/>
      </w:pPr>
      <w:rPr>
        <w:rFonts w:ascii="Noto Sans Symbols" w:eastAsia="Noto Sans Symbols" w:hAnsi="Noto Sans Symbols" w:cs="Noto Sans Symbols"/>
      </w:rPr>
    </w:lvl>
    <w:lvl w:ilvl="1">
      <w:start w:val="1"/>
      <w:numFmt w:val="bullet"/>
      <w:pStyle w:val="MSStandardLevel2"/>
      <w:lvlText w:val="o"/>
      <w:lvlJc w:val="left"/>
      <w:pPr>
        <w:ind w:left="1440" w:hanging="360"/>
      </w:pPr>
      <w:rPr>
        <w:rFonts w:ascii="Courier New" w:eastAsia="Courier New" w:hAnsi="Courier New" w:cs="Courier New"/>
      </w:rPr>
    </w:lvl>
    <w:lvl w:ilvl="2">
      <w:start w:val="1"/>
      <w:numFmt w:val="bullet"/>
      <w:pStyle w:val="MSStandardLevel3"/>
      <w:lvlText w:val="▪"/>
      <w:lvlJc w:val="left"/>
      <w:pPr>
        <w:ind w:left="2160" w:hanging="360"/>
      </w:pPr>
      <w:rPr>
        <w:rFonts w:ascii="Noto Sans Symbols" w:eastAsia="Noto Sans Symbols" w:hAnsi="Noto Sans Symbols" w:cs="Noto Sans Symbols"/>
      </w:rPr>
    </w:lvl>
    <w:lvl w:ilvl="3">
      <w:start w:val="1"/>
      <w:numFmt w:val="bullet"/>
      <w:pStyle w:val="MSStandardLevel4"/>
      <w:lvlText w:val="●"/>
      <w:lvlJc w:val="left"/>
      <w:pPr>
        <w:ind w:left="2880" w:hanging="360"/>
      </w:pPr>
      <w:rPr>
        <w:rFonts w:ascii="Noto Sans Symbols" w:eastAsia="Noto Sans Symbols" w:hAnsi="Noto Sans Symbols" w:cs="Noto Sans Symbols"/>
      </w:rPr>
    </w:lvl>
    <w:lvl w:ilvl="4">
      <w:start w:val="1"/>
      <w:numFmt w:val="bullet"/>
      <w:pStyle w:val="MSStandardLevel5"/>
      <w:lvlText w:val="o"/>
      <w:lvlJc w:val="left"/>
      <w:pPr>
        <w:ind w:left="3600" w:hanging="360"/>
      </w:pPr>
      <w:rPr>
        <w:rFonts w:ascii="Courier New" w:eastAsia="Courier New" w:hAnsi="Courier New" w:cs="Courier New"/>
      </w:rPr>
    </w:lvl>
    <w:lvl w:ilvl="5">
      <w:start w:val="1"/>
      <w:numFmt w:val="bullet"/>
      <w:pStyle w:val="MSStandardLevel6"/>
      <w:lvlText w:val="▪"/>
      <w:lvlJc w:val="left"/>
      <w:pPr>
        <w:ind w:left="4320" w:hanging="360"/>
      </w:pPr>
      <w:rPr>
        <w:rFonts w:ascii="Noto Sans Symbols" w:eastAsia="Noto Sans Symbols" w:hAnsi="Noto Sans Symbols" w:cs="Noto Sans Symbols"/>
      </w:rPr>
    </w:lvl>
    <w:lvl w:ilvl="6">
      <w:start w:val="1"/>
      <w:numFmt w:val="bullet"/>
      <w:pStyle w:val="MSStandardLevel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285CE2"/>
    <w:multiLevelType w:val="multilevel"/>
    <w:tmpl w:val="367CA1CA"/>
    <w:lvl w:ilvl="0">
      <w:start w:val="1"/>
      <w:numFmt w:val="decimal"/>
      <w:pStyle w:val="ReportHead1"/>
      <w:lvlText w:val="%1."/>
      <w:lvlJc w:val="left"/>
      <w:pPr>
        <w:ind w:left="720" w:hanging="360"/>
      </w:pPr>
    </w:lvl>
    <w:lvl w:ilvl="1">
      <w:start w:val="1"/>
      <w:numFmt w:val="lowerLetter"/>
      <w:pStyle w:val="ReportHead3"/>
      <w:lvlText w:val="%2."/>
      <w:lvlJc w:val="left"/>
      <w:pPr>
        <w:ind w:left="1440" w:hanging="360"/>
      </w:pPr>
    </w:lvl>
    <w:lvl w:ilvl="2">
      <w:start w:val="1"/>
      <w:numFmt w:val="lowerRoman"/>
      <w:pStyle w:val="ReportHead4"/>
      <w:lvlText w:val="%3."/>
      <w:lvlJc w:val="right"/>
      <w:pPr>
        <w:ind w:left="2160" w:hanging="180"/>
      </w:pPr>
    </w:lvl>
    <w:lvl w:ilvl="3">
      <w:start w:val="1"/>
      <w:numFmt w:val="decimal"/>
      <w:pStyle w:val="ReportHead5"/>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5857298">
    <w:abstractNumId w:val="6"/>
  </w:num>
  <w:num w:numId="2" w16cid:durableId="292755840">
    <w:abstractNumId w:val="5"/>
  </w:num>
  <w:num w:numId="3" w16cid:durableId="522789878">
    <w:abstractNumId w:val="10"/>
  </w:num>
  <w:num w:numId="4" w16cid:durableId="1151214233">
    <w:abstractNumId w:val="8"/>
  </w:num>
  <w:num w:numId="5" w16cid:durableId="1993098102">
    <w:abstractNumId w:val="2"/>
  </w:num>
  <w:num w:numId="6" w16cid:durableId="1342119351">
    <w:abstractNumId w:val="7"/>
  </w:num>
  <w:num w:numId="7" w16cid:durableId="86538002">
    <w:abstractNumId w:val="3"/>
  </w:num>
  <w:num w:numId="8" w16cid:durableId="1408069629">
    <w:abstractNumId w:val="4"/>
  </w:num>
  <w:num w:numId="9" w16cid:durableId="928076504">
    <w:abstractNumId w:val="0"/>
  </w:num>
  <w:num w:numId="10" w16cid:durableId="966936965">
    <w:abstractNumId w:val="9"/>
  </w:num>
  <w:num w:numId="11" w16cid:durableId="450705020">
    <w:abstractNumId w:val="1"/>
  </w:num>
  <w:num w:numId="12" w16cid:durableId="2007052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8223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13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E3"/>
    <w:rsid w:val="00071260"/>
    <w:rsid w:val="001734AA"/>
    <w:rsid w:val="00190C9A"/>
    <w:rsid w:val="00214049"/>
    <w:rsid w:val="00224C51"/>
    <w:rsid w:val="002962C3"/>
    <w:rsid w:val="002B27A7"/>
    <w:rsid w:val="002B3890"/>
    <w:rsid w:val="0032626F"/>
    <w:rsid w:val="003649D8"/>
    <w:rsid w:val="004463E3"/>
    <w:rsid w:val="005811F9"/>
    <w:rsid w:val="005A3CC9"/>
    <w:rsid w:val="005A740C"/>
    <w:rsid w:val="00780BBF"/>
    <w:rsid w:val="007833FA"/>
    <w:rsid w:val="00811885"/>
    <w:rsid w:val="00866C77"/>
    <w:rsid w:val="0089162B"/>
    <w:rsid w:val="009338D6"/>
    <w:rsid w:val="009515C6"/>
    <w:rsid w:val="00AB6ED9"/>
    <w:rsid w:val="00BD6FE8"/>
    <w:rsid w:val="00C53276"/>
    <w:rsid w:val="00CC7119"/>
    <w:rsid w:val="00DF0997"/>
    <w:rsid w:val="00E0083E"/>
    <w:rsid w:val="00E749D8"/>
    <w:rsid w:val="00F64822"/>
    <w:rsid w:val="00F85B2F"/>
    <w:rsid w:val="15DC0E5B"/>
    <w:rsid w:val="17813D5B"/>
    <w:rsid w:val="42AB9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EC19"/>
  <w15:docId w15:val="{F4574C63-7042-44C3-AE18-B7F80DFB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spacing w:after="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4A7"/>
    <w:rPr>
      <w:color w:val="000000"/>
    </w:rPr>
  </w:style>
  <w:style w:type="paragraph" w:styleId="Heading1">
    <w:name w:val="heading 1"/>
    <w:basedOn w:val="Normal"/>
    <w:next w:val="Normal"/>
    <w:link w:val="Heading1Char"/>
    <w:uiPriority w:val="9"/>
    <w:qFormat/>
    <w:rsid w:val="003144A7"/>
    <w:pPr>
      <w:keepNext/>
      <w:numPr>
        <w:ilvl w:val="1"/>
        <w:numId w:val="5"/>
      </w:numPr>
      <w:spacing w:after="240"/>
      <w:outlineLvl w:val="0"/>
    </w:pPr>
    <w:rPr>
      <w:rFonts w:cs="Arial"/>
      <w:caps/>
      <w:sz w:val="28"/>
    </w:rPr>
  </w:style>
  <w:style w:type="paragraph" w:styleId="Heading2">
    <w:name w:val="heading 2"/>
    <w:basedOn w:val="Normal"/>
    <w:next w:val="Normal"/>
    <w:uiPriority w:val="9"/>
    <w:unhideWhenUsed/>
    <w:qFormat/>
    <w:pPr>
      <w:keepNext/>
      <w:spacing w:after="240"/>
      <w:outlineLvl w:val="1"/>
    </w:pPr>
    <w:rPr>
      <w:b/>
      <w:sz w:val="22"/>
    </w:rPr>
  </w:style>
  <w:style w:type="paragraph" w:styleId="Heading3">
    <w:name w:val="heading 3"/>
    <w:basedOn w:val="Normal"/>
    <w:next w:val="Normal"/>
    <w:uiPriority w:val="9"/>
    <w:semiHidden/>
    <w:unhideWhenUsed/>
    <w:qFormat/>
    <w:pPr>
      <w:keepNext/>
      <w:numPr>
        <w:ilvl w:val="2"/>
        <w:numId w:val="5"/>
      </w:numPr>
      <w:spacing w:after="240"/>
      <w:outlineLvl w:val="2"/>
    </w:pPr>
    <w:rPr>
      <w:i/>
      <w:sz w:val="22"/>
    </w:rPr>
  </w:style>
  <w:style w:type="paragraph" w:styleId="Heading4">
    <w:name w:val="heading 4"/>
    <w:basedOn w:val="Normal"/>
    <w:next w:val="Normal"/>
    <w:uiPriority w:val="9"/>
    <w:semiHidden/>
    <w:unhideWhenUsed/>
    <w:qFormat/>
    <w:pPr>
      <w:keepNext/>
      <w:numPr>
        <w:ilvl w:val="3"/>
        <w:numId w:val="5"/>
      </w:numPr>
      <w:outlineLvl w:val="3"/>
    </w:pPr>
    <w:rPr>
      <w:b/>
      <w:sz w:val="22"/>
    </w:rPr>
  </w:style>
  <w:style w:type="paragraph" w:styleId="Heading5">
    <w:name w:val="heading 5"/>
    <w:basedOn w:val="Normal"/>
    <w:next w:val="Normal"/>
    <w:uiPriority w:val="9"/>
    <w:semiHidden/>
    <w:unhideWhenUsed/>
    <w:qFormat/>
    <w:pPr>
      <w:numPr>
        <w:ilvl w:val="4"/>
        <w:numId w:val="5"/>
      </w:numPr>
      <w:outlineLvl w:val="4"/>
    </w:pPr>
  </w:style>
  <w:style w:type="paragraph" w:styleId="Heading6">
    <w:name w:val="heading 6"/>
    <w:basedOn w:val="Normal"/>
    <w:next w:val="Normal"/>
    <w:uiPriority w:val="9"/>
    <w:semiHidden/>
    <w:unhideWhenUsed/>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Return">
    <w:name w:val="envelope return"/>
    <w:basedOn w:val="Normal"/>
  </w:style>
  <w:style w:type="paragraph" w:styleId="BodyText">
    <w:name w:val="Body Text"/>
    <w:basedOn w:val="Normal"/>
    <w:link w:val="BodyTextChar"/>
    <w:rsid w:val="003144A7"/>
    <w:pPr>
      <w:spacing w:after="120"/>
    </w:pPr>
  </w:style>
  <w:style w:type="paragraph" w:customStyle="1" w:styleId="ReportHead1">
    <w:name w:val="Report Head 1"/>
    <w:basedOn w:val="Normal"/>
    <w:next w:val="Normal"/>
    <w:pPr>
      <w:numPr>
        <w:numId w:val="3"/>
      </w:numPr>
      <w:spacing w:after="240"/>
      <w:outlineLvl w:val="0"/>
    </w:pPr>
    <w:rPr>
      <w:b/>
      <w:caps/>
    </w:rPr>
  </w:style>
  <w:style w:type="paragraph" w:styleId="ListNumber2">
    <w:name w:val="List Number 2"/>
    <w:basedOn w:val="Normal"/>
    <w:pPr>
      <w:numPr>
        <w:numId w:val="1"/>
      </w:numPr>
    </w:pPr>
  </w:style>
  <w:style w:type="paragraph" w:customStyle="1" w:styleId="ReportHead2">
    <w:name w:val="Report Head 2"/>
    <w:basedOn w:val="Normal"/>
    <w:next w:val="Normal"/>
    <w:pPr>
      <w:numPr>
        <w:ilvl w:val="1"/>
        <w:numId w:val="2"/>
      </w:numPr>
      <w:spacing w:after="240"/>
      <w:outlineLvl w:val="1"/>
    </w:pPr>
    <w:rPr>
      <w:b/>
    </w:rPr>
  </w:style>
  <w:style w:type="paragraph" w:customStyle="1" w:styleId="ReportHead3">
    <w:name w:val="Report Head 3"/>
    <w:basedOn w:val="Normal"/>
    <w:next w:val="Normal"/>
    <w:pPr>
      <w:numPr>
        <w:ilvl w:val="1"/>
        <w:numId w:val="3"/>
      </w:numPr>
      <w:spacing w:after="120"/>
      <w:outlineLvl w:val="1"/>
    </w:pPr>
  </w:style>
  <w:style w:type="paragraph" w:customStyle="1" w:styleId="ReportHead4">
    <w:name w:val="Report Head 4"/>
    <w:basedOn w:val="Normal"/>
    <w:pPr>
      <w:numPr>
        <w:ilvl w:val="2"/>
        <w:numId w:val="3"/>
      </w:numPr>
      <w:spacing w:after="120"/>
      <w:outlineLvl w:val="2"/>
    </w:pPr>
  </w:style>
  <w:style w:type="paragraph" w:styleId="EnvelopeAddress">
    <w:name w:val="envelope address"/>
    <w:basedOn w:val="Normal"/>
    <w:pPr>
      <w:framePr w:w="5041" w:hSpace="181" w:vSpace="181" w:wrap="around" w:vAnchor="page" w:hAnchor="page" w:x="2161" w:y="2881"/>
    </w:pPr>
  </w:style>
  <w:style w:type="paragraph" w:customStyle="1" w:styleId="ReportBodyText">
    <w:name w:val="Report Body Text"/>
    <w:basedOn w:val="Normal"/>
    <w:pPr>
      <w:spacing w:after="120"/>
    </w:pPr>
  </w:style>
  <w:style w:type="paragraph" w:customStyle="1" w:styleId="ReportHead5">
    <w:name w:val="Report Head 5"/>
    <w:basedOn w:val="Normal"/>
    <w:pPr>
      <w:numPr>
        <w:ilvl w:val="3"/>
        <w:numId w:val="3"/>
      </w:numPr>
      <w:spacing w:after="120"/>
      <w:outlineLvl w:val="3"/>
    </w:pPr>
  </w:style>
  <w:style w:type="paragraph" w:customStyle="1" w:styleId="ReportHead6">
    <w:name w:val="Report Head 6"/>
    <w:basedOn w:val="Normal"/>
    <w:pPr>
      <w:numPr>
        <w:ilvl w:val="4"/>
        <w:numId w:val="4"/>
      </w:numPr>
      <w:spacing w:after="120"/>
      <w:outlineLvl w:val="4"/>
    </w:pPr>
  </w:style>
  <w:style w:type="paragraph" w:customStyle="1" w:styleId="MSStandardLevel1">
    <w:name w:val="MS Standard Level 1"/>
    <w:basedOn w:val="Normal"/>
    <w:pPr>
      <w:numPr>
        <w:numId w:val="10"/>
      </w:numPr>
      <w:spacing w:after="120"/>
      <w:outlineLvl w:val="0"/>
    </w:pPr>
  </w:style>
  <w:style w:type="paragraph" w:customStyle="1" w:styleId="MSStandardLevel2">
    <w:name w:val="MS Standard Level 2"/>
    <w:basedOn w:val="Normal"/>
    <w:pPr>
      <w:numPr>
        <w:ilvl w:val="1"/>
        <w:numId w:val="10"/>
      </w:numPr>
      <w:spacing w:after="120"/>
      <w:outlineLvl w:val="1"/>
    </w:pPr>
  </w:style>
  <w:style w:type="paragraph" w:customStyle="1" w:styleId="MSStandardLevel3">
    <w:name w:val="MS Standard Level 3"/>
    <w:basedOn w:val="Normal"/>
    <w:pPr>
      <w:numPr>
        <w:ilvl w:val="2"/>
        <w:numId w:val="10"/>
      </w:numPr>
      <w:spacing w:after="120"/>
      <w:outlineLvl w:val="2"/>
    </w:pPr>
  </w:style>
  <w:style w:type="paragraph" w:customStyle="1" w:styleId="MSStandardLevel4">
    <w:name w:val="MS Standard Level 4"/>
    <w:basedOn w:val="Normal"/>
    <w:pPr>
      <w:numPr>
        <w:ilvl w:val="3"/>
        <w:numId w:val="10"/>
      </w:numPr>
      <w:spacing w:after="120"/>
      <w:outlineLvl w:val="3"/>
    </w:pPr>
  </w:style>
  <w:style w:type="paragraph" w:customStyle="1" w:styleId="MSStandardLevel5">
    <w:name w:val="MS Standard Level 5"/>
    <w:basedOn w:val="Normal"/>
    <w:pPr>
      <w:numPr>
        <w:ilvl w:val="4"/>
        <w:numId w:val="10"/>
      </w:numPr>
      <w:tabs>
        <w:tab w:val="left" w:pos="1134"/>
      </w:tabs>
      <w:spacing w:after="120"/>
      <w:outlineLvl w:val="4"/>
    </w:pPr>
  </w:style>
  <w:style w:type="paragraph" w:customStyle="1" w:styleId="MSStandardLevel6">
    <w:name w:val="MS Standard Level 6"/>
    <w:basedOn w:val="Normal"/>
    <w:pPr>
      <w:numPr>
        <w:ilvl w:val="5"/>
        <w:numId w:val="10"/>
      </w:numPr>
      <w:tabs>
        <w:tab w:val="left" w:pos="1134"/>
      </w:tabs>
      <w:spacing w:after="120"/>
      <w:outlineLvl w:val="5"/>
    </w:pPr>
  </w:style>
  <w:style w:type="paragraph" w:customStyle="1" w:styleId="MSStandardLevel7">
    <w:name w:val="MS Standard Level 7"/>
    <w:basedOn w:val="Normal"/>
    <w:pPr>
      <w:numPr>
        <w:ilvl w:val="6"/>
        <w:numId w:val="10"/>
      </w:numPr>
      <w:tabs>
        <w:tab w:val="left" w:pos="1418"/>
      </w:tabs>
      <w:spacing w:after="120"/>
      <w:outlineLvl w:val="6"/>
    </w:pPr>
  </w:style>
  <w:style w:type="paragraph" w:styleId="TOC1">
    <w:name w:val="toc 1"/>
    <w:basedOn w:val="Normal"/>
    <w:next w:val="Normal"/>
    <w:autoRedefine/>
    <w:uiPriority w:val="39"/>
  </w:style>
  <w:style w:type="paragraph" w:styleId="TOC2">
    <w:name w:val="toc 2"/>
    <w:basedOn w:val="Normal"/>
    <w:next w:val="Normal"/>
    <w:autoRedefine/>
    <w:uiPriority w:val="39"/>
  </w:style>
  <w:style w:type="paragraph" w:styleId="TOC3">
    <w:name w:val="toc 3"/>
    <w:basedOn w:val="Normal"/>
    <w:next w:val="Normal"/>
    <w:autoRedefine/>
    <w:semiHidden/>
  </w:style>
  <w:style w:type="paragraph" w:styleId="TOC4">
    <w:name w:val="toc 4"/>
    <w:basedOn w:val="Normal"/>
    <w:next w:val="Normal"/>
    <w:autoRedefine/>
    <w:semiHidden/>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MSHouseLevel1">
    <w:name w:val="MS House Level 1"/>
    <w:basedOn w:val="Normal"/>
    <w:pPr>
      <w:numPr>
        <w:numId w:val="6"/>
      </w:numPr>
      <w:spacing w:after="240"/>
      <w:outlineLvl w:val="0"/>
    </w:pPr>
    <w:rPr>
      <w:b/>
      <w:caps/>
      <w:sz w:val="22"/>
    </w:rPr>
  </w:style>
  <w:style w:type="paragraph" w:customStyle="1" w:styleId="MSHouseLevel2">
    <w:name w:val="MS House Level 2"/>
    <w:basedOn w:val="Normal"/>
    <w:pPr>
      <w:numPr>
        <w:ilvl w:val="1"/>
        <w:numId w:val="6"/>
      </w:numPr>
      <w:spacing w:after="120"/>
      <w:outlineLvl w:val="1"/>
    </w:pPr>
  </w:style>
  <w:style w:type="paragraph" w:customStyle="1" w:styleId="MSHouseLevel3">
    <w:name w:val="MS House Level 3"/>
    <w:basedOn w:val="Normal"/>
    <w:pPr>
      <w:numPr>
        <w:ilvl w:val="2"/>
        <w:numId w:val="6"/>
      </w:numPr>
      <w:spacing w:after="120"/>
      <w:outlineLvl w:val="2"/>
    </w:pPr>
  </w:style>
  <w:style w:type="paragraph" w:customStyle="1" w:styleId="MSHouseLevel4">
    <w:name w:val="MS House Level 4"/>
    <w:basedOn w:val="Normal"/>
    <w:pPr>
      <w:numPr>
        <w:ilvl w:val="3"/>
        <w:numId w:val="6"/>
      </w:numPr>
      <w:spacing w:after="120"/>
      <w:outlineLvl w:val="3"/>
    </w:pPr>
  </w:style>
  <w:style w:type="paragraph" w:customStyle="1" w:styleId="MSHouseLevel5">
    <w:name w:val="MS House Level 5"/>
    <w:basedOn w:val="Normal"/>
    <w:pPr>
      <w:numPr>
        <w:ilvl w:val="4"/>
        <w:numId w:val="6"/>
      </w:numPr>
      <w:spacing w:after="120"/>
      <w:outlineLvl w:val="4"/>
    </w:pPr>
  </w:style>
  <w:style w:type="paragraph" w:customStyle="1" w:styleId="MSHouseLevel6">
    <w:name w:val="MS House Level 6"/>
    <w:basedOn w:val="Normal"/>
    <w:pPr>
      <w:numPr>
        <w:ilvl w:val="5"/>
        <w:numId w:val="6"/>
      </w:numPr>
      <w:spacing w:after="120"/>
      <w:outlineLvl w:val="5"/>
    </w:pPr>
  </w:style>
  <w:style w:type="paragraph" w:customStyle="1" w:styleId="MSHouseLevel7">
    <w:name w:val="MS House Level 7"/>
    <w:basedOn w:val="Normal"/>
    <w:pPr>
      <w:numPr>
        <w:ilvl w:val="6"/>
        <w:numId w:val="6"/>
      </w:numPr>
      <w:spacing w:after="120"/>
      <w:outlineLvl w:val="6"/>
    </w:pPr>
  </w:style>
  <w:style w:type="character" w:styleId="Hyperlink">
    <w:name w:val="Hyperlink"/>
    <w:basedOn w:val="DefaultParagraphFont"/>
    <w:uiPriority w:val="99"/>
    <w:rPr>
      <w:color w:val="0000FF"/>
      <w:u w:val="single"/>
    </w:rPr>
  </w:style>
  <w:style w:type="paragraph" w:customStyle="1" w:styleId="MSLetterLevel1">
    <w:name w:val="MS Letter Level 1"/>
    <w:basedOn w:val="Normal"/>
    <w:pPr>
      <w:numPr>
        <w:numId w:val="7"/>
      </w:numPr>
      <w:spacing w:after="120"/>
    </w:pPr>
  </w:style>
  <w:style w:type="paragraph" w:customStyle="1" w:styleId="MSLetterLevel2">
    <w:name w:val="MS Letter Level 2"/>
    <w:basedOn w:val="MSLetterLevel1"/>
    <w:pPr>
      <w:numPr>
        <w:ilvl w:val="1"/>
      </w:numPr>
    </w:pPr>
  </w:style>
  <w:style w:type="paragraph" w:customStyle="1" w:styleId="MSLetterLevel3">
    <w:name w:val="MS Letter Level 3"/>
    <w:basedOn w:val="MSLetterLevel2"/>
    <w:pPr>
      <w:numPr>
        <w:ilvl w:val="2"/>
      </w:numPr>
      <w:tabs>
        <w:tab w:val="left" w:pos="1134"/>
      </w:tabs>
    </w:pPr>
  </w:style>
  <w:style w:type="paragraph" w:customStyle="1" w:styleId="MSBulletLevel1">
    <w:name w:val="MS Bullet Level 1"/>
    <w:basedOn w:val="Normal"/>
    <w:pPr>
      <w:numPr>
        <w:numId w:val="8"/>
      </w:numPr>
      <w:spacing w:after="120"/>
    </w:pPr>
  </w:style>
  <w:style w:type="paragraph" w:customStyle="1" w:styleId="MSBulletLevel2">
    <w:name w:val="MS Bullet Level 2"/>
    <w:basedOn w:val="Normal"/>
    <w:pPr>
      <w:numPr>
        <w:ilvl w:val="1"/>
        <w:numId w:val="9"/>
      </w:numPr>
      <w:spacing w:after="120"/>
    </w:pPr>
  </w:style>
  <w:style w:type="paragraph" w:customStyle="1" w:styleId="MSBulletLevel3">
    <w:name w:val="MS Bullet Level 3"/>
    <w:basedOn w:val="Normal"/>
    <w:pPr>
      <w:numPr>
        <w:ilvl w:val="2"/>
        <w:numId w:val="9"/>
      </w:numPr>
      <w:spacing w:after="120"/>
    </w:pPr>
  </w:style>
  <w:style w:type="paragraph" w:customStyle="1" w:styleId="Bullet">
    <w:name w:val="Bullet"/>
    <w:basedOn w:val="Normal"/>
    <w:qFormat/>
    <w:rsid w:val="00940146"/>
    <w:pPr>
      <w:numPr>
        <w:numId w:val="11"/>
      </w:numPr>
      <w:spacing w:before="40" w:after="80" w:line="280" w:lineRule="atLeast"/>
    </w:pPr>
  </w:style>
  <w:style w:type="paragraph" w:styleId="ListBullet">
    <w:name w:val="List Bullet"/>
    <w:basedOn w:val="Normal"/>
    <w:autoRedefine/>
    <w:rsid w:val="00940146"/>
    <w:pPr>
      <w:tabs>
        <w:tab w:val="num" w:pos="720"/>
      </w:tabs>
      <w:ind w:left="720" w:hanging="720"/>
    </w:pPr>
    <w:rPr>
      <w:rFonts w:ascii="Arial" w:hAnsi="Arial"/>
      <w:szCs w:val="20"/>
      <w:lang w:val="sv-SE"/>
    </w:rPr>
  </w:style>
  <w:style w:type="paragraph" w:customStyle="1" w:styleId="BT1">
    <w:name w:val="BT 1"/>
    <w:basedOn w:val="Normal"/>
    <w:qFormat/>
    <w:rsid w:val="00940146"/>
    <w:pPr>
      <w:spacing w:after="200"/>
    </w:pPr>
    <w:rPr>
      <w:lang w:bidi="th-TH"/>
    </w:rPr>
  </w:style>
  <w:style w:type="paragraph" w:customStyle="1" w:styleId="TableT">
    <w:name w:val="Table T"/>
    <w:basedOn w:val="BT1"/>
    <w:qFormat/>
    <w:rsid w:val="00940146"/>
    <w:pPr>
      <w:spacing w:after="100"/>
      <w:jc w:val="left"/>
    </w:pPr>
    <w:rPr>
      <w:sz w:val="20"/>
      <w:szCs w:val="20"/>
    </w:rPr>
  </w:style>
  <w:style w:type="paragraph" w:customStyle="1" w:styleId="BodyText1">
    <w:name w:val="Body Text1"/>
    <w:basedOn w:val="Normal"/>
    <w:qFormat/>
    <w:rsid w:val="003144A7"/>
  </w:style>
  <w:style w:type="table" w:styleId="TableGrid">
    <w:name w:val="Table Grid"/>
    <w:basedOn w:val="TableNormal"/>
    <w:uiPriority w:val="59"/>
    <w:rsid w:val="00940146"/>
    <w:rPr>
      <w:rFonts w:ascii="Univers 45 Light" w:hAnsi="Univers 45 Light"/>
      <w:lang w:val="en-US" w:eastAsia="zh-CN"/>
    </w:rPr>
    <w:tblPr/>
  </w:style>
  <w:style w:type="paragraph" w:customStyle="1" w:styleId="Numberedbullet">
    <w:name w:val="Numbered bullet"/>
    <w:basedOn w:val="Normal"/>
    <w:rsid w:val="00940146"/>
    <w:pPr>
      <w:tabs>
        <w:tab w:val="num" w:pos="720"/>
      </w:tabs>
      <w:spacing w:after="200" w:line="280" w:lineRule="atLeast"/>
      <w:ind w:left="360" w:hanging="720"/>
    </w:pPr>
    <w:rPr>
      <w:rFonts w:ascii="Arial" w:hAnsi="Arial" w:cs="Arial"/>
      <w:sz w:val="22"/>
    </w:rPr>
  </w:style>
  <w:style w:type="paragraph" w:customStyle="1" w:styleId="Alphabullet">
    <w:name w:val="Alpha bullet"/>
    <w:basedOn w:val="Numberedbullet"/>
    <w:rsid w:val="00940146"/>
    <w:pPr>
      <w:numPr>
        <w:ilvl w:val="1"/>
      </w:numPr>
      <w:tabs>
        <w:tab w:val="num" w:pos="720"/>
      </w:tabs>
      <w:ind w:left="576" w:hanging="288"/>
    </w:pPr>
  </w:style>
  <w:style w:type="character" w:customStyle="1" w:styleId="BodyTextChar">
    <w:name w:val="Body Text Char"/>
    <w:basedOn w:val="DefaultParagraphFont"/>
    <w:link w:val="BodyText"/>
    <w:rsid w:val="00940146"/>
    <w:rPr>
      <w:color w:val="000000"/>
      <w:sz w:val="24"/>
      <w:szCs w:val="24"/>
    </w:rPr>
  </w:style>
  <w:style w:type="paragraph" w:customStyle="1" w:styleId="Head3">
    <w:name w:val="Head 3"/>
    <w:basedOn w:val="BT1"/>
    <w:qFormat/>
    <w:rsid w:val="00940146"/>
    <w:pPr>
      <w:keepNext/>
      <w:spacing w:after="160"/>
    </w:pPr>
    <w:rPr>
      <w:b/>
      <w:i/>
    </w:rPr>
  </w:style>
  <w:style w:type="character" w:customStyle="1" w:styleId="Heading1Char">
    <w:name w:val="Heading 1 Char"/>
    <w:basedOn w:val="DefaultParagraphFont"/>
    <w:link w:val="Heading1"/>
    <w:rsid w:val="00940146"/>
    <w:rPr>
      <w:rFonts w:cs="Arial"/>
      <w:caps/>
      <w:color w:val="000000"/>
      <w:sz w:val="28"/>
      <w:szCs w:val="24"/>
    </w:rPr>
  </w:style>
  <w:style w:type="paragraph" w:styleId="BalloonText">
    <w:name w:val="Balloon Text"/>
    <w:basedOn w:val="Normal"/>
    <w:link w:val="BalloonTextChar"/>
    <w:rsid w:val="00A069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A0697E"/>
    <w:rPr>
      <w:rFonts w:ascii="Lucida Grande" w:hAnsi="Lucida Grande" w:cs="Lucida Grande"/>
      <w:color w:val="000000"/>
      <w:sz w:val="18"/>
      <w:szCs w:val="18"/>
    </w:rPr>
  </w:style>
  <w:style w:type="character" w:styleId="CommentReference">
    <w:name w:val="annotation reference"/>
    <w:basedOn w:val="DefaultParagraphFont"/>
    <w:rsid w:val="003B251A"/>
    <w:rPr>
      <w:sz w:val="18"/>
      <w:szCs w:val="18"/>
    </w:rPr>
  </w:style>
  <w:style w:type="paragraph" w:styleId="CommentText">
    <w:name w:val="annotation text"/>
    <w:basedOn w:val="Normal"/>
    <w:link w:val="CommentTextChar"/>
    <w:rsid w:val="003B251A"/>
  </w:style>
  <w:style w:type="character" w:customStyle="1" w:styleId="CommentTextChar">
    <w:name w:val="Comment Text Char"/>
    <w:basedOn w:val="DefaultParagraphFont"/>
    <w:link w:val="CommentText"/>
    <w:rsid w:val="003B251A"/>
    <w:rPr>
      <w:color w:val="000000"/>
      <w:sz w:val="24"/>
      <w:szCs w:val="24"/>
    </w:rPr>
  </w:style>
  <w:style w:type="paragraph" w:styleId="CommentSubject">
    <w:name w:val="annotation subject"/>
    <w:basedOn w:val="CommentText"/>
    <w:next w:val="CommentText"/>
    <w:link w:val="CommentSubjectChar"/>
    <w:rsid w:val="003B251A"/>
    <w:rPr>
      <w:b/>
      <w:bCs/>
      <w:sz w:val="20"/>
      <w:szCs w:val="20"/>
    </w:rPr>
  </w:style>
  <w:style w:type="character" w:customStyle="1" w:styleId="CommentSubjectChar">
    <w:name w:val="Comment Subject Char"/>
    <w:basedOn w:val="CommentTextChar"/>
    <w:link w:val="CommentSubject"/>
    <w:rsid w:val="003B251A"/>
    <w:rPr>
      <w:b/>
      <w:bCs/>
      <w:color w:val="000000"/>
      <w:sz w:val="24"/>
      <w:szCs w:val="24"/>
    </w:rPr>
  </w:style>
  <w:style w:type="paragraph" w:styleId="ListParagraph">
    <w:name w:val="List Paragraph"/>
    <w:basedOn w:val="Normal"/>
    <w:uiPriority w:val="34"/>
    <w:qFormat/>
    <w:rsid w:val="00641667"/>
    <w:pPr>
      <w:spacing w:after="160" w:line="256" w:lineRule="auto"/>
      <w:ind w:left="720"/>
      <w:contextualSpacing/>
      <w:jc w:val="left"/>
    </w:pPr>
    <w:rPr>
      <w:rFonts w:asciiTheme="minorHAnsi" w:eastAsiaTheme="minorHAnsi" w:hAnsiTheme="minorHAnsi" w:cstheme="minorBidi"/>
      <w:color w:val="auto"/>
      <w:sz w:val="22"/>
      <w:szCs w:val="22"/>
      <w:lang w:val="en-US" w:eastAsia="en-US"/>
    </w:rPr>
  </w:style>
  <w:style w:type="paragraph" w:styleId="TOCHeading">
    <w:name w:val="TOC Heading"/>
    <w:basedOn w:val="Heading1"/>
    <w:next w:val="Normal"/>
    <w:uiPriority w:val="39"/>
    <w:unhideWhenUsed/>
    <w:qFormat/>
    <w:rsid w:val="00641667"/>
    <w:pPr>
      <w:keepLines/>
      <w:numPr>
        <w:ilvl w:val="0"/>
        <w:numId w:val="0"/>
      </w:numPr>
      <w:spacing w:before="240" w:after="0" w:line="256" w:lineRule="auto"/>
      <w:jc w:val="left"/>
      <w:outlineLvl w:val="9"/>
    </w:pPr>
    <w:rPr>
      <w:rFonts w:asciiTheme="majorHAnsi" w:eastAsiaTheme="majorEastAsia" w:hAnsiTheme="majorHAnsi" w:cstheme="majorBidi"/>
      <w:caps w:val="0"/>
      <w:color w:val="365F91" w:themeColor="accent1" w:themeShade="BF"/>
      <w:sz w:val="32"/>
      <w:szCs w:val="32"/>
      <w:lang w:val="en-US" w:eastAsia="en-US"/>
    </w:rPr>
  </w:style>
  <w:style w:type="paragraph" w:customStyle="1" w:styleId="Tablehd">
    <w:name w:val="Table hd"/>
    <w:basedOn w:val="TableT"/>
    <w:qFormat/>
    <w:rsid w:val="00641667"/>
    <w:pPr>
      <w:spacing w:before="20" w:after="20"/>
      <w:jc w:val="center"/>
    </w:pPr>
    <w:rPr>
      <w:b/>
    </w:rPr>
  </w:style>
  <w:style w:type="paragraph" w:customStyle="1" w:styleId="Tabletext">
    <w:name w:val="Table text"/>
    <w:rsid w:val="00983FB5"/>
    <w:pPr>
      <w:spacing w:before="40" w:line="240" w:lineRule="atLeast"/>
    </w:pPr>
    <w:rPr>
      <w:rFonts w:ascii="Calibri" w:eastAsia="Univers 45 Light" w:hAnsi="Calibri" w:cs="Arial"/>
      <w:b/>
      <w:bCs/>
      <w:color w:val="000000"/>
    </w:rPr>
  </w:style>
  <w:style w:type="paragraph" w:customStyle="1" w:styleId="Bodytext-indendedafterbullet">
    <w:name w:val="Body text - indended after bullet"/>
    <w:basedOn w:val="BodyText1"/>
    <w:rsid w:val="00160F35"/>
    <w:pPr>
      <w:spacing w:after="120"/>
      <w:ind w:left="360"/>
    </w:pPr>
  </w:style>
  <w:style w:type="paragraph" w:styleId="Header">
    <w:name w:val="header"/>
    <w:basedOn w:val="Normal"/>
    <w:link w:val="HeaderChar"/>
    <w:unhideWhenUsed/>
    <w:rsid w:val="00AD5A55"/>
    <w:pPr>
      <w:tabs>
        <w:tab w:val="center" w:pos="4680"/>
        <w:tab w:val="right" w:pos="9360"/>
      </w:tabs>
      <w:spacing w:after="0"/>
    </w:pPr>
  </w:style>
  <w:style w:type="character" w:customStyle="1" w:styleId="HeaderChar">
    <w:name w:val="Header Char"/>
    <w:basedOn w:val="DefaultParagraphFont"/>
    <w:link w:val="Header"/>
    <w:rsid w:val="00AD5A55"/>
    <w:rPr>
      <w:color w:val="000000"/>
      <w:sz w:val="24"/>
      <w:szCs w:val="24"/>
    </w:rPr>
  </w:style>
  <w:style w:type="paragraph" w:styleId="Footer">
    <w:name w:val="footer"/>
    <w:basedOn w:val="Normal"/>
    <w:link w:val="FooterChar"/>
    <w:uiPriority w:val="99"/>
    <w:unhideWhenUsed/>
    <w:rsid w:val="00AD5A55"/>
    <w:pPr>
      <w:tabs>
        <w:tab w:val="center" w:pos="4680"/>
        <w:tab w:val="right" w:pos="9360"/>
      </w:tabs>
      <w:spacing w:after="0"/>
    </w:pPr>
  </w:style>
  <w:style w:type="character" w:customStyle="1" w:styleId="FooterChar">
    <w:name w:val="Footer Char"/>
    <w:basedOn w:val="DefaultParagraphFont"/>
    <w:link w:val="Footer"/>
    <w:uiPriority w:val="99"/>
    <w:rsid w:val="00AD5A55"/>
    <w:rPr>
      <w:color w:val="000000"/>
      <w:sz w:val="24"/>
      <w:szCs w:val="24"/>
    </w:rPr>
  </w:style>
  <w:style w:type="paragraph" w:styleId="FootnoteText">
    <w:name w:val="footnote text"/>
    <w:basedOn w:val="Normal"/>
    <w:link w:val="FootnoteTextChar"/>
    <w:semiHidden/>
    <w:unhideWhenUsed/>
    <w:rsid w:val="00A06DB2"/>
    <w:pPr>
      <w:spacing w:after="0"/>
    </w:pPr>
    <w:rPr>
      <w:sz w:val="20"/>
      <w:szCs w:val="20"/>
    </w:rPr>
  </w:style>
  <w:style w:type="character" w:customStyle="1" w:styleId="FootnoteTextChar">
    <w:name w:val="Footnote Text Char"/>
    <w:basedOn w:val="DefaultParagraphFont"/>
    <w:link w:val="FootnoteText"/>
    <w:semiHidden/>
    <w:rsid w:val="00A06DB2"/>
    <w:rPr>
      <w:color w:val="000000"/>
    </w:rPr>
  </w:style>
  <w:style w:type="character" w:styleId="FootnoteReference">
    <w:name w:val="footnote reference"/>
    <w:basedOn w:val="DefaultParagraphFont"/>
    <w:semiHidden/>
    <w:unhideWhenUsed/>
    <w:rsid w:val="00A06DB2"/>
    <w:rPr>
      <w:vertAlign w:val="superscript"/>
    </w:rPr>
  </w:style>
  <w:style w:type="paragraph" w:styleId="Revision">
    <w:name w:val="Revision"/>
    <w:hidden/>
    <w:uiPriority w:val="99"/>
    <w:semiHidden/>
    <w:rsid w:val="003144A7"/>
    <w:rPr>
      <w:color w:val="000000"/>
    </w:rPr>
  </w:style>
  <w:style w:type="table" w:styleId="TableGridLight">
    <w:name w:val="Grid Table Light"/>
    <w:basedOn w:val="TableNormal"/>
    <w:uiPriority w:val="40"/>
    <w:rsid w:val="00F64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9276C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Open Sans Light" w:eastAsia="Open Sans Light" w:hAnsi="Open Sans Light" w:cs="Open Sans Light"/>
    </w:rPr>
    <w:tblPr>
      <w:tblStyleRowBandSize w:val="1"/>
      <w:tblStyleColBandSize w:val="1"/>
      <w:tblCellMar>
        <w:left w:w="72" w:type="dxa"/>
        <w:right w:w="72" w:type="dxa"/>
      </w:tblCellMar>
    </w:tblPr>
  </w:style>
  <w:style w:type="table" w:customStyle="1" w:styleId="a0">
    <w:basedOn w:val="TableNormal"/>
    <w:rPr>
      <w:rFonts w:ascii="Open Sans Light" w:eastAsia="Open Sans Light" w:hAnsi="Open Sans Light" w:cs="Open Sans Light"/>
    </w:rPr>
    <w:tblPr>
      <w:tblStyleRowBandSize w:val="1"/>
      <w:tblStyleColBandSize w:val="1"/>
    </w:tblPr>
  </w:style>
  <w:style w:type="table" w:customStyle="1" w:styleId="a1">
    <w:basedOn w:val="TableNormal"/>
    <w:rPr>
      <w:rFonts w:ascii="Open Sans Light" w:eastAsia="Open Sans Light" w:hAnsi="Open Sans Light" w:cs="Open Sans Light"/>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72" w:type="dxa"/>
        <w:left w:w="72" w:type="dxa"/>
        <w:bottom w:w="72" w:type="dxa"/>
        <w:right w:w="72" w:type="dxa"/>
      </w:tblCellMar>
    </w:tblPr>
  </w:style>
  <w:style w:type="table" w:customStyle="1" w:styleId="a4">
    <w:basedOn w:val="TableNormal"/>
    <w:tblPr>
      <w:tblStyleRowBandSize w:val="1"/>
      <w:tblStyleColBandSize w:val="1"/>
      <w:tblCellMar>
        <w:top w:w="28" w:type="dxa"/>
        <w:left w:w="85" w:type="dxa"/>
        <w:bottom w:w="57" w:type="dxa"/>
        <w:right w:w="85" w:type="dxa"/>
      </w:tblCellMar>
    </w:tblPr>
  </w:style>
  <w:style w:type="table" w:customStyle="1" w:styleId="a5">
    <w:basedOn w:val="TableNormal"/>
    <w:rPr>
      <w:rFonts w:ascii="Open Sans Light" w:eastAsia="Open Sans Light" w:hAnsi="Open Sans Light" w:cs="Open Sans Light"/>
    </w:rPr>
    <w:tblPr>
      <w:tblStyleRowBandSize w:val="1"/>
      <w:tblStyleColBandSize w:val="1"/>
      <w:tblCellMar>
        <w:top w:w="72" w:type="dxa"/>
        <w:left w:w="72" w:type="dxa"/>
        <w:bottom w:w="72" w:type="dxa"/>
        <w:right w:w="72" w:type="dxa"/>
      </w:tblCellMar>
    </w:tblPr>
  </w:style>
  <w:style w:type="table" w:customStyle="1" w:styleId="a6">
    <w:basedOn w:val="TableNormal"/>
    <w:rPr>
      <w:rFonts w:ascii="Open Sans Light" w:eastAsia="Open Sans Light" w:hAnsi="Open Sans Light" w:cs="Open Sans Light"/>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atSQZIxLRfgoIMwDqbwCn0Nnh8Q==">AMUW2mXSVsIWDB92IoSboyPDeDZWiazpQBcV4xtzJOOEgv81tEg2jTO6i07ivMpbAoslZHxEFA/DDGxI2jRPhtK9/hC/t2aGqm5r73W25EWQJdfq44/HeF9smNG1LnU01tHiEyys8JB9sgR1Gt2zS2XFn8TkF0FcWA==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UNDP-MDA-00939,1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ToR for Partner capacity_Micro assessment.docx</OriginalFileName>
    <OriginalNegotiationId xmlns="e3444403-f3ee-4177-94fe-65e1cbd0c3f2">300003562971905</OriginalNegotiationId>
    <_dlc_DocId xmlns="45e793ef-0031-4b09-a8ac-54742f93ccb1">UNDPPUBDOCS-2047177221-1597102</_dlc_DocId>
    <_dlc_DocIdUrl xmlns="45e793ef-0031-4b09-a8ac-54742f93ccb1">
      <Url>https://undp.sharepoint.com/sites/Docs-Public/_layouts/15/DocIdRedir.aspx?ID=UNDPPUBDOCS-2047177221-1597102</Url>
      <Description>UNDPPUBDOCS-2047177221-1597102</Description>
    </_dlc_DocIdUrl>
    <Token xmlns="e3444403-f3ee-4177-94fe-65e1cbd0c3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2916C9-5EB8-416E-9559-664462AC6D5C}"/>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61BB410-8231-4736-8902-B71CDF931B02}">
  <ds:schemaRefs>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ba1d5b28-7d38-49f6-a277-547b77f47852"/>
    <ds:schemaRef ds:uri="http://schemas.microsoft.com/office/2006/metadata/properties"/>
    <ds:schemaRef ds:uri="http://schemas.microsoft.com/office/infopath/2007/PartnerControls"/>
    <ds:schemaRef ds:uri="afefc342-68fb-448d-a578-b529d23e4fd0"/>
  </ds:schemaRefs>
</ds:datastoreItem>
</file>

<file path=customXml/itemProps4.xml><?xml version="1.0" encoding="utf-8"?>
<ds:datastoreItem xmlns:ds="http://schemas.openxmlformats.org/officeDocument/2006/customXml" ds:itemID="{482AF4AD-0B2E-4B97-B328-09662B932D15}">
  <ds:schemaRefs>
    <ds:schemaRef ds:uri="http://schemas.microsoft.com/sharepoint/v3/contenttype/forms"/>
  </ds:schemaRefs>
</ds:datastoreItem>
</file>

<file path=customXml/itemProps5.xml><?xml version="1.0" encoding="utf-8"?>
<ds:datastoreItem xmlns:ds="http://schemas.openxmlformats.org/officeDocument/2006/customXml" ds:itemID="{4B8FD4D8-537A-4484-80A9-EB23CC6F65F8}"/>
</file>

<file path=docProps/app.xml><?xml version="1.0" encoding="utf-8"?>
<Properties xmlns="http://schemas.openxmlformats.org/officeDocument/2006/extended-properties" xmlns:vt="http://schemas.openxmlformats.org/officeDocument/2006/docPropsVTypes">
  <Template>Normal.dotm</Template>
  <TotalTime>0</TotalTime>
  <Pages>15</Pages>
  <Words>2673</Words>
  <Characters>15239</Characters>
  <Application>Microsoft Office Word</Application>
  <DocSecurity>4</DocSecurity>
  <Lines>126</Lines>
  <Paragraphs>35</Paragraphs>
  <ScaleCrop>false</ScaleCrop>
  <Company/>
  <LinksUpToDate>false</LinksUpToDate>
  <CharactersWithSpaces>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Henderson</dc:creator>
  <cp:keywords/>
  <cp:lastModifiedBy>Cristina Gnaciuc</cp:lastModifiedBy>
  <cp:revision>2</cp:revision>
  <dcterms:created xsi:type="dcterms:W3CDTF">2026-03-24T12:32:00Z</dcterms:created>
  <dcterms:modified xsi:type="dcterms:W3CDTF">2026-03-24T12:32:00Z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4c7c2ef7-e17f-4273-b1ba-4a44e258494b</vt:lpwstr>
  </property>
  <property fmtid="{D5CDD505-2E9C-101B-9397-08002B2CF9AE}" pid="6" name="Order">
    <vt:r8>159710200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