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3E624518-334F-442E-B6E9-FBD87A4DCADD}"/>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5F1030F-F4A0-4A4E-B585-FFEBAD44A88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1d76d1b0-a951-4063-aaf4-72fea93e5406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160978200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