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F490">
      <w:pPr>
        <w:spacing w:before="0" w:after="200"/>
        <w:jc w:val="center"/>
      </w:pPr>
      <w:r>
        <w:rPr>
          <w:rFonts w:ascii="Arial" w:hAnsi="Arial" w:eastAsia="Arial" w:cs="Arial"/>
          <w:b/>
          <w:bCs/>
          <w:color w:val="2E75B6"/>
          <w:sz w:val="28"/>
          <w:szCs w:val="28"/>
        </w:rPr>
        <w:t>ANUNȚ DE IDENTIFICARE OFERTE DE PREȚ</w:t>
      </w:r>
    </w:p>
    <w:p w14:paraId="6FF507C1">
      <w:pPr>
        <w:spacing w:before="0" w:after="60"/>
        <w:jc w:val="center"/>
      </w:pPr>
      <w:r>
        <w:rPr>
          <w:rFonts w:ascii="Arial" w:hAnsi="Arial" w:eastAsia="Arial" w:cs="Arial"/>
          <w:b/>
          <w:bCs/>
          <w:sz w:val="24"/>
          <w:szCs w:val="24"/>
        </w:rPr>
        <w:t>Proiect</w:t>
      </w:r>
      <w:r>
        <w:rPr>
          <w:rFonts w:hint="default" w:cs="Arial"/>
          <w:b/>
          <w:bCs/>
          <w:sz w:val="24"/>
          <w:szCs w:val="24"/>
        </w:rPr>
        <w:t xml:space="preserve"> INSIPĂ Moldova</w:t>
      </w:r>
      <w:r>
        <w:rPr>
          <w:rFonts w:ascii="Arial" w:hAnsi="Arial" w:eastAsia="Arial" w:cs="Arial"/>
          <w:b/>
          <w:bCs/>
          <w:sz w:val="24"/>
          <w:szCs w:val="24"/>
        </w:rPr>
        <w:t>: „Femei vizibile – Comunități vizionare”</w:t>
      </w:r>
    </w:p>
    <w:p w14:paraId="2CFA6443">
      <w:pPr>
        <w:spacing w:before="0" w:after="60"/>
        <w:jc w:val="center"/>
      </w:pPr>
      <w:r>
        <w:rPr>
          <w:rFonts w:ascii="Arial" w:hAnsi="Arial" w:eastAsia="Arial" w:cs="Arial"/>
          <w:sz w:val="22"/>
          <w:szCs w:val="22"/>
        </w:rPr>
        <w:t>Implementat de: AO ASEIDES</w:t>
      </w:r>
      <w:r>
        <w:rPr>
          <w:rFonts w:hint="default" w:cs="Arial"/>
          <w:sz w:val="22"/>
          <w:szCs w:val="22"/>
        </w:rPr>
        <w:t>, f</w:t>
      </w:r>
      <w:r>
        <w:rPr>
          <w:rFonts w:ascii="Arial" w:hAnsi="Arial" w:eastAsia="Arial" w:cs="Arial"/>
          <w:sz w:val="22"/>
          <w:szCs w:val="22"/>
        </w:rPr>
        <w:t>inanțat de</w:t>
      </w:r>
      <w:r>
        <w:rPr>
          <w:rFonts w:hint="default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Uniunea Europeană</w:t>
      </w:r>
    </w:p>
    <w:p w14:paraId="3E3562A3">
      <w:pPr>
        <w:pBdr>
          <w:bottom w:val="single" w:color="2E75B6" w:sz="6" w:space="1"/>
        </w:pBdr>
        <w:spacing w:before="0" w:after="240"/>
      </w:pPr>
    </w:p>
    <w:p w14:paraId="33F525C4">
      <w:pPr>
        <w:spacing w:before="0" w:after="120"/>
        <w:jc w:val="both"/>
      </w:pPr>
      <w:bookmarkStart w:id="0" w:name="_GoBack"/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AO ASEIDES, în calitate de organizație implementatoare a proiectului 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2"/>
          <w:szCs w:val="22"/>
        </w:rPr>
        <w:t xml:space="preserve">Femei vizibile </w:t>
      </w:r>
      <w:r>
        <w:rPr>
          <w:rFonts w:hint="default" w:cs="Arial"/>
          <w:b/>
          <w:bCs/>
          <w:i w:val="0"/>
          <w:iCs w:val="0"/>
          <w:color w:val="000000"/>
          <w:sz w:val="22"/>
          <w:szCs w:val="22"/>
        </w:rPr>
        <w:t>-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2"/>
          <w:szCs w:val="22"/>
        </w:rPr>
        <w:t xml:space="preserve"> Comuni</w:t>
      </w:r>
      <w:r>
        <w:rPr>
          <w:rFonts w:hint="default" w:cs="Arial"/>
          <w:b/>
          <w:bCs/>
          <w:i w:val="0"/>
          <w:iCs w:val="0"/>
          <w:color w:val="000000"/>
          <w:sz w:val="22"/>
          <w:szCs w:val="22"/>
        </w:rPr>
        <w:t>tăți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2"/>
          <w:szCs w:val="22"/>
        </w:rPr>
        <w:t xml:space="preserve"> vizionare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>, finan</w:t>
      </w:r>
      <w:r>
        <w:rPr>
          <w:rFonts w:cs="Arial"/>
          <w:b w:val="0"/>
          <w:bCs w:val="0"/>
          <w:i w:val="0"/>
          <w:iCs w:val="0"/>
          <w:color w:val="000000"/>
          <w:sz w:val="22"/>
          <w:szCs w:val="22"/>
        </w:rPr>
        <w:t>ț</w:t>
      </w:r>
      <w:r>
        <w:rPr>
          <w:rFonts w:hint="default" w:cs="Arial"/>
          <w:b w:val="0"/>
          <w:bCs w:val="0"/>
          <w:i w:val="0"/>
          <w:iCs w:val="0"/>
          <w:color w:val="000000"/>
          <w:sz w:val="22"/>
          <w:szCs w:val="22"/>
        </w:rPr>
        <w:t>at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de Uniunea Europeană, invită operatorii economici interesați să prezinte oferte de preț pentru achiziționarea următoarelor bunuri, structurate pe două loturi:</w:t>
      </w:r>
    </w:p>
    <w:p w14:paraId="2C599737"/>
    <w:p w14:paraId="5AE1E8AC">
      <w:pPr>
        <w:spacing w:before="240" w:after="120"/>
      </w:pPr>
      <w:r>
        <w:rPr>
          <w:rFonts w:ascii="Arial" w:hAnsi="Arial" w:eastAsia="Arial" w:cs="Arial"/>
          <w:b/>
          <w:bCs/>
          <w:color w:val="2E75B6"/>
          <w:sz w:val="24"/>
          <w:szCs w:val="24"/>
        </w:rPr>
        <w:t>LOT 1 – Echipament sportiv și mobilier urban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7460"/>
        <w:gridCol w:w="1200"/>
      </w:tblGrid>
      <w:tr w14:paraId="45D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0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19E904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746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C7E5B1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Denumirea bunului</w:t>
            </w:r>
          </w:p>
        </w:tc>
        <w:tc>
          <w:tcPr>
            <w:tcW w:w="120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AF3B2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Cantitate</w:t>
            </w:r>
          </w:p>
        </w:tc>
      </w:tr>
      <w:tr w14:paraId="5EA8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711FA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C0DD65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Accesorii pentru baschet (pilon</w:t>
            </w:r>
            <w:r>
              <w:rPr>
                <w:rFonts w:hint="default" w:cs="Arial"/>
                <w:b w:val="0"/>
                <w:bCs w:val="0"/>
                <w:sz w:val="20"/>
                <w:szCs w:val="20"/>
              </w:rPr>
              <w:t xml:space="preserve"> din metal</w:t>
            </w: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, panou și coș cu plasă), dim. 1200×900×2900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175F8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5A8A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D794B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F50E43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Complex sportiv cu pilon</w:t>
            </w:r>
            <w:r>
              <w:rPr>
                <w:rFonts w:hint="default" w:cs="Arial"/>
                <w:b w:val="0"/>
                <w:bCs w:val="0"/>
                <w:sz w:val="20"/>
                <w:szCs w:val="20"/>
              </w:rPr>
              <w:t xml:space="preserve"> din metal</w:t>
            </w: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 xml:space="preserve"> și sac de box, înălțime 2700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C1EEE7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62E6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16C1F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62AA28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Scaun de exterior din lemn cu suport metalic, dim. 4000×450×450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CE50B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4E07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44B06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4A644D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Urnă de exterior cu corp din lemn/plastic și cadru metalic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DFB8DB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27F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509507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60187DB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Plasă volei, dim. 9500×1000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D7D56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20B5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76E93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F17BC1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Minge volei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9B09B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3 buc.</w:t>
            </w:r>
          </w:p>
        </w:tc>
      </w:tr>
      <w:tr w14:paraId="4487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63AFAF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3C49EE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Minge baschet nr. 3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97612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 buc.</w:t>
            </w:r>
          </w:p>
        </w:tc>
      </w:tr>
    </w:tbl>
    <w:p w14:paraId="3FC853D0"/>
    <w:p w14:paraId="4A5C9684">
      <w:pPr>
        <w:spacing w:before="240" w:after="120"/>
      </w:pPr>
      <w:r>
        <w:rPr>
          <w:rFonts w:ascii="Arial" w:hAnsi="Arial" w:eastAsia="Arial" w:cs="Arial"/>
          <w:b/>
          <w:bCs/>
          <w:color w:val="2E75B6"/>
          <w:sz w:val="24"/>
          <w:szCs w:val="24"/>
        </w:rPr>
        <w:t>LOT 2 – Elemente de joacă pentru copii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7460"/>
        <w:gridCol w:w="1200"/>
      </w:tblGrid>
      <w:tr w14:paraId="4B2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0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BDE41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746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B6FA7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Denumirea bunului</w:t>
            </w:r>
          </w:p>
        </w:tc>
        <w:tc>
          <w:tcPr>
            <w:tcW w:w="1200" w:type="dxa"/>
            <w:tcBorders>
              <w:top w:val="single" w:color="2E75B6" w:sz="0" w:space="0"/>
              <w:left w:val="single" w:color="2E75B6" w:sz="0" w:space="0"/>
              <w:bottom w:val="single" w:color="2E75B6" w:sz="0" w:space="0"/>
              <w:right w:val="single" w:color="2E75B6" w:sz="0" w:space="0"/>
            </w:tcBorders>
            <w:shd w:val="clear" w:color="auto" w:fill="2E75B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1315C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Cantitate</w:t>
            </w:r>
          </w:p>
        </w:tc>
      </w:tr>
      <w:tr w14:paraId="6B4C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8F34F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F694E9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Element sportiv – cale serpantină</w:t>
            </w:r>
            <w:r>
              <w:rPr>
                <w:rFonts w:hint="default" w:cs="Arial"/>
                <w:b w:val="0"/>
                <w:bCs w:val="0"/>
                <w:sz w:val="20"/>
                <w:szCs w:val="20"/>
              </w:rPr>
              <w:t xml:space="preserve"> din lemn, cu suport din metal</w:t>
            </w: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, dim. 3000×1500×300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A0778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2FCA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F884A2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6019AC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Nisipieră cu scaune pe colțuri, jocuri cu bile și pergolă, dim. 1600×1600×1950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6FFE3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  <w:tr w14:paraId="2A68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9017D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46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B838E2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Balansoar</w:t>
            </w:r>
            <w:r>
              <w:rPr>
                <w:rFonts w:hint="default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default"/>
                <w:b w:val="0"/>
                <w:bCs w:val="0"/>
                <w:sz w:val="20"/>
                <w:szCs w:val="20"/>
              </w:rPr>
              <w:t xml:space="preserve"> din lemn,cu suport metalic, prevăzut cu mânere de susținere 2 scaune, cu suprafata antialunecare și 2 amortizatoare</w:t>
            </w: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, dim. 2000×350×450 mm</w:t>
            </w:r>
          </w:p>
        </w:tc>
        <w:tc>
          <w:tcPr>
            <w:tcW w:w="1200" w:type="dxa"/>
            <w:tcBorders>
              <w:top w:val="single" w:color="AAAAAA" w:sz="0" w:space="0"/>
              <w:left w:val="single" w:color="AAAAAA" w:sz="0" w:space="0"/>
              <w:bottom w:val="single" w:color="AAAAAA" w:sz="0" w:space="0"/>
              <w:right w:val="single" w:color="AAAAAA" w:sz="0" w:space="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6C7E71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 buc.</w:t>
            </w:r>
          </w:p>
        </w:tc>
      </w:tr>
    </w:tbl>
    <w:p w14:paraId="37CB30E6"/>
    <w:p w14:paraId="520CC2B4">
      <w:pPr>
        <w:spacing w:before="240" w:after="120"/>
      </w:pPr>
      <w:r>
        <w:rPr>
          <w:rFonts w:ascii="Arial" w:hAnsi="Arial" w:eastAsia="Arial" w:cs="Arial"/>
          <w:b/>
          <w:bCs/>
          <w:color w:val="2E75B6"/>
          <w:sz w:val="24"/>
          <w:szCs w:val="24"/>
        </w:rPr>
        <w:t>Condiții de participare</w:t>
      </w:r>
    </w:p>
    <w:p w14:paraId="379B8A8D">
      <w:pPr>
        <w:spacing w:before="0" w:after="120"/>
        <w:jc w:val="both"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>Ofertele vor fi prezentate în formă scrisă și vor include:</w:t>
      </w:r>
    </w:p>
    <w:p w14:paraId="35D6386A">
      <w:pPr>
        <w:pStyle w:val="16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>Denumirea și datele de contact ale operatorului economic;</w:t>
      </w:r>
    </w:p>
    <w:p w14:paraId="3EA27CF8">
      <w:pPr>
        <w:pStyle w:val="16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>Prețul unitar și total pentru fiecare poziție, fără TVA;</w:t>
      </w:r>
    </w:p>
    <w:p w14:paraId="2F691BFC">
      <w:pPr>
        <w:pStyle w:val="16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>Termenul de livrare și condițiile de garanție;</w:t>
      </w:r>
    </w:p>
    <w:p w14:paraId="0D125767">
      <w:pPr>
        <w:pStyle w:val="16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>Valabilitatea ofertei (minimum 30 de zile calendaristice).</w:t>
      </w:r>
    </w:p>
    <w:p w14:paraId="687BD208"/>
    <w:p w14:paraId="1C05A828">
      <w:pPr>
        <w:spacing w:before="120" w:after="120"/>
      </w:pPr>
      <w:r>
        <w:rPr>
          <w:rFonts w:ascii="Arial" w:hAnsi="Arial" w:eastAsia="Arial" w:cs="Arial"/>
          <w:b/>
          <w:bCs/>
          <w:sz w:val="22"/>
          <w:szCs w:val="22"/>
        </w:rPr>
        <w:t xml:space="preserve">Criteriul de selecție: </w:t>
      </w:r>
      <w:r>
        <w:rPr>
          <w:rFonts w:hint="default" w:cs="Arial"/>
          <w:sz w:val="22"/>
          <w:szCs w:val="22"/>
        </w:rPr>
        <w:t>Raport</w:t>
      </w:r>
      <w:r>
        <w:rPr>
          <w:rFonts w:ascii="Arial" w:hAnsi="Arial" w:eastAsia="Arial" w:cs="Arial"/>
          <w:sz w:val="22"/>
          <w:szCs w:val="22"/>
        </w:rPr>
        <w:t xml:space="preserve"> preț</w:t>
      </w:r>
      <w:r>
        <w:rPr>
          <w:rFonts w:hint="default" w:cs="Arial"/>
          <w:sz w:val="22"/>
          <w:szCs w:val="22"/>
        </w:rPr>
        <w:t>-caliate</w:t>
      </w:r>
      <w:r>
        <w:rPr>
          <w:rFonts w:ascii="Arial" w:hAnsi="Arial" w:eastAsia="Arial" w:cs="Arial"/>
          <w:sz w:val="22"/>
          <w:szCs w:val="22"/>
        </w:rPr>
        <w:t xml:space="preserve"> pentru fiecare lot </w:t>
      </w:r>
      <w:r>
        <w:rPr>
          <w:rFonts w:hint="default" w:cs="Arial"/>
          <w:sz w:val="22"/>
          <w:szCs w:val="22"/>
        </w:rPr>
        <w:t>separat</w:t>
      </w:r>
      <w:r>
        <w:rPr>
          <w:rFonts w:ascii="Arial" w:hAnsi="Arial" w:eastAsia="Arial" w:cs="Arial"/>
          <w:sz w:val="22"/>
          <w:szCs w:val="22"/>
        </w:rPr>
        <w:t>, cu respectarea cerințelor tehnice</w:t>
      </w:r>
      <w:r>
        <w:rPr>
          <w:rFonts w:hint="default" w:cs="Arial"/>
          <w:sz w:val="22"/>
          <w:szCs w:val="22"/>
        </w:rPr>
        <w:t xml:space="preserve"> indicate în anunț.</w:t>
      </w:r>
    </w:p>
    <w:p w14:paraId="346C22DD"/>
    <w:p w14:paraId="7B5EAE5A">
      <w:pPr>
        <w:spacing w:before="120" w:after="60"/>
      </w:pPr>
      <w:r>
        <w:rPr>
          <w:rFonts w:ascii="Arial" w:hAnsi="Arial" w:eastAsia="Arial" w:cs="Arial"/>
          <w:sz w:val="22"/>
          <w:szCs w:val="22"/>
        </w:rPr>
        <w:t xml:space="preserve">Ofertele se transmit până la data de 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>1</w:t>
      </w:r>
      <w:r>
        <w:rPr>
          <w:rFonts w:hint="default" w:cs="Arial"/>
          <w:b/>
          <w:bCs/>
          <w:sz w:val="22"/>
          <w:szCs w:val="22"/>
          <w:highlight w:val="none"/>
          <w:lang/>
        </w:rPr>
        <w:t>3</w:t>
      </w:r>
      <w:r>
        <w:rPr>
          <w:rFonts w:ascii="Arial" w:hAnsi="Arial" w:eastAsia="Arial" w:cs="Arial"/>
          <w:b/>
          <w:bCs/>
          <w:sz w:val="22"/>
          <w:szCs w:val="22"/>
          <w:highlight w:val="none"/>
        </w:rPr>
        <w:t>.05.2026,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 ora 18:00</w:t>
      </w:r>
      <w:r>
        <w:rPr>
          <w:rFonts w:ascii="Arial" w:hAnsi="Arial" w:eastAsia="Arial" w:cs="Arial"/>
          <w:sz w:val="22"/>
          <w:szCs w:val="22"/>
        </w:rPr>
        <w:t xml:space="preserve">, la adresa de e-mail: </w:t>
      </w:r>
      <w:r>
        <w:rPr>
          <w:rFonts w:ascii="Arial" w:hAnsi="Arial" w:eastAsia="Arial" w:cs="Arial"/>
          <w:b/>
          <w:bCs/>
          <w:sz w:val="22"/>
          <w:szCs w:val="22"/>
        </w:rPr>
        <w:t>aseides.oficiu@gmail.com</w:t>
      </w:r>
    </w:p>
    <w:p w14:paraId="4694ECB2">
      <w:pPr>
        <w:spacing w:before="60" w:after="240"/>
        <w:rPr>
          <w:rFonts w:hint="default"/>
        </w:rPr>
      </w:pPr>
      <w:r>
        <w:rPr>
          <w:rFonts w:ascii="Arial" w:hAnsi="Arial" w:eastAsia="Arial" w:cs="Arial"/>
          <w:sz w:val="22"/>
          <w:szCs w:val="22"/>
        </w:rPr>
        <w:t xml:space="preserve">Pentru informații suplimentare, vă rugăm să contactați: </w:t>
      </w:r>
      <w:r>
        <w:rPr>
          <w:rFonts w:ascii="Arial" w:hAnsi="Arial" w:eastAsia="Arial" w:cs="Arial"/>
          <w:b/>
          <w:bCs/>
          <w:sz w:val="22"/>
          <w:szCs w:val="22"/>
        </w:rPr>
        <w:t>069 996 545</w:t>
      </w:r>
      <w:r>
        <w:rPr>
          <w:rFonts w:hint="default" w:cs="Arial"/>
          <w:b/>
          <w:bCs/>
          <w:sz w:val="22"/>
          <w:szCs w:val="22"/>
        </w:rPr>
        <w:t>.</w:t>
      </w:r>
    </w:p>
    <w:bookmarkEnd w:id="0"/>
    <w:p w14:paraId="036C2B41">
      <w:pPr>
        <w:pBdr>
          <w:bottom w:val="single" w:color="2E75B6" w:sz="6" w:space="1"/>
        </w:pBdr>
        <w:spacing w:before="120" w:after="200"/>
      </w:pPr>
    </w:p>
    <w:p w14:paraId="44B5B295">
      <w:pPr>
        <w:spacing w:before="0" w:after="0"/>
        <w:jc w:val="both"/>
      </w:pPr>
      <w:r>
        <w:rPr>
          <w:rFonts w:ascii="Arial" w:hAnsi="Arial" w:eastAsia="Arial" w:cs="Arial"/>
          <w:i/>
          <w:iCs/>
          <w:color w:val="555555"/>
          <w:sz w:val="18"/>
          <w:szCs w:val="18"/>
        </w:rPr>
        <w:t>Acest anunț este publicat în cadrul proiectului Femei vizibile - Comunități vizionare, implementat de AO ASEIDES şi finanțat de Uniunea Europeană. Conținutul acestui material reprezintă responsabilitatea exclusivă a AO ASEIDES şi nu reflectă neapărat poziția Uniunii Europene.</w:t>
      </w: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8A649"/>
    <w:multiLevelType w:val="singleLevel"/>
    <w:tmpl w:val="0DF8A649"/>
    <w:lvl w:ilvl="0" w:tentative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17396BC3"/>
    <w:rsid w:val="454E6AF0"/>
    <w:rsid w:val="4983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17">
    <w:name w:val="Footnote Text Char"/>
    <w:link w:val="13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26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2026-05-06T07:51:00Z</dcterms:created>
  <dc:creator>Un-named</dc:creator>
  <cp:lastModifiedBy>Elena Bordianu</cp:lastModifiedBy>
  <dcterms:modified xsi:type="dcterms:W3CDTF">2026-05-06T14:00:53Z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9717F05789D9403481A4C9E95456FCF0_12</vt:lpwstr>
  </property>
</Properties>
</file>